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C9E91" w14:textId="36A01294" w:rsidR="00E85BC3" w:rsidRDefault="00E85BC3" w:rsidP="00E85BC3">
      <w:pPr>
        <w:rPr>
          <w:b/>
        </w:rPr>
      </w:pPr>
      <w:r>
        <w:rPr>
          <w:b/>
        </w:rPr>
        <w:t>Technology Transfer Committee (TTC) of NHERI</w:t>
      </w:r>
      <w:bookmarkStart w:id="0" w:name="_GoBack"/>
      <w:bookmarkEnd w:id="0"/>
    </w:p>
    <w:p w14:paraId="298C192A" w14:textId="77777777" w:rsidR="00E85BC3" w:rsidRDefault="00E85BC3" w:rsidP="00E85BC3">
      <w:pPr>
        <w:rPr>
          <w:b/>
        </w:rPr>
      </w:pPr>
    </w:p>
    <w:p w14:paraId="7EAE16BA" w14:textId="77777777" w:rsidR="00E85BC3" w:rsidRPr="006A698D" w:rsidRDefault="00E85BC3" w:rsidP="00E85BC3">
      <w:r>
        <w:t xml:space="preserve">The Technology Transfer Committee (TTC) is </w:t>
      </w:r>
      <w:proofErr w:type="gramStart"/>
      <w:r>
        <w:t>a</w:t>
      </w:r>
      <w:proofErr w:type="gramEnd"/>
      <w:r>
        <w:t xml:space="preserve"> </w:t>
      </w:r>
      <w:r w:rsidRPr="006A698D">
        <w:t xml:space="preserve">NHERI-wide </w:t>
      </w:r>
      <w:r>
        <w:t>group</w:t>
      </w:r>
      <w:r w:rsidRPr="006A698D">
        <w:t xml:space="preserve"> foc</w:t>
      </w:r>
      <w:r>
        <w:t>used on technology transfer and consisting</w:t>
      </w:r>
      <w:r w:rsidRPr="006A698D">
        <w:t xml:space="preserve"> of volunteer key </w:t>
      </w:r>
      <w:r>
        <w:t xml:space="preserve">experts and </w:t>
      </w:r>
      <w:r w:rsidRPr="006A698D">
        <w:t>decision</w:t>
      </w:r>
      <w:r>
        <w:t>-</w:t>
      </w:r>
      <w:r w:rsidRPr="006A698D">
        <w:t xml:space="preserve">makers who have </w:t>
      </w:r>
      <w:r>
        <w:t xml:space="preserve">the </w:t>
      </w:r>
      <w:r w:rsidRPr="006A698D">
        <w:t>experienc</w:t>
      </w:r>
      <w:r>
        <w:t>e to contribute to design guidelines,</w:t>
      </w:r>
      <w:r w:rsidRPr="006A698D">
        <w:t xml:space="preserve"> </w:t>
      </w:r>
      <w:r>
        <w:t xml:space="preserve">technical briefs, seminars, </w:t>
      </w:r>
      <w:r w:rsidRPr="006A698D">
        <w:t>building codes and standards.</w:t>
      </w:r>
      <w:r>
        <w:t xml:space="preserve">  The</w:t>
      </w:r>
      <w:r w:rsidRPr="006A698D">
        <w:t xml:space="preserve"> </w:t>
      </w:r>
      <w:r>
        <w:t>TTC</w:t>
      </w:r>
      <w:r w:rsidRPr="006A698D">
        <w:t xml:space="preserve"> w</w:t>
      </w:r>
      <w:r>
        <w:t>ill</w:t>
      </w:r>
      <w:r w:rsidRPr="006A698D">
        <w:t xml:space="preserve"> identify past key project</w:t>
      </w:r>
      <w:r>
        <w:t>s from NEES, and those in NHERI</w:t>
      </w:r>
      <w:r w:rsidRPr="006A698D">
        <w:t xml:space="preserve"> and other research in earthquake, wind, and coastal engineering that could lead to new code provisions, new design guidelines, and new or improved test methods to mitigate risk due to natural hazards.  The group </w:t>
      </w:r>
      <w:r>
        <w:t>will</w:t>
      </w:r>
      <w:r w:rsidRPr="006A698D">
        <w:t xml:space="preserve"> draft resolutions and strategies for taking </w:t>
      </w:r>
      <w:r>
        <w:t xml:space="preserve">these </w:t>
      </w:r>
      <w:r w:rsidRPr="006A698D">
        <w:t>well-developed research</w:t>
      </w:r>
      <w:r>
        <w:t xml:space="preserve"> results</w:t>
      </w:r>
      <w:r w:rsidRPr="006A698D">
        <w:t xml:space="preserve"> into practice.</w:t>
      </w:r>
    </w:p>
    <w:p w14:paraId="77AADFCB" w14:textId="77777777" w:rsidR="00890FE8" w:rsidRDefault="00890FE8" w:rsidP="00E85BC3"/>
    <w:p w14:paraId="71586342" w14:textId="18BF553E" w:rsidR="00E95D61" w:rsidRPr="00E95D61" w:rsidRDefault="00E95D61" w:rsidP="00E95D61">
      <w:pPr>
        <w:rPr>
          <w:rFonts w:eastAsia="Times New Roman"/>
          <w:b/>
          <w:i/>
          <w:color w:val="000000"/>
        </w:rPr>
      </w:pPr>
      <w:r w:rsidRPr="00E95D61">
        <w:rPr>
          <w:rFonts w:eastAsia="Times New Roman"/>
          <w:b/>
          <w:i/>
          <w:color w:val="000000"/>
        </w:rPr>
        <w:t>Composition</w:t>
      </w:r>
      <w:r>
        <w:rPr>
          <w:rFonts w:eastAsia="Times New Roman"/>
          <w:b/>
          <w:i/>
          <w:color w:val="000000"/>
        </w:rPr>
        <w:t xml:space="preserve"> </w:t>
      </w:r>
      <w:r w:rsidR="00AC5296">
        <w:rPr>
          <w:rFonts w:eastAsia="Times New Roman"/>
          <w:b/>
          <w:i/>
          <w:color w:val="000000"/>
        </w:rPr>
        <w:t xml:space="preserve">and Operating Procedures </w:t>
      </w:r>
      <w:r>
        <w:rPr>
          <w:rFonts w:eastAsia="Times New Roman"/>
          <w:b/>
          <w:i/>
          <w:color w:val="000000"/>
        </w:rPr>
        <w:t>of the TTC</w:t>
      </w:r>
    </w:p>
    <w:p w14:paraId="66E4C632" w14:textId="77777777" w:rsidR="00E95D61" w:rsidRDefault="00E95D61" w:rsidP="00E95D61">
      <w:pPr>
        <w:rPr>
          <w:rFonts w:eastAsia="Times New Roman"/>
          <w:b/>
          <w:color w:val="000000"/>
        </w:rPr>
      </w:pPr>
    </w:p>
    <w:p w14:paraId="719469AB" w14:textId="30333576" w:rsidR="00D70B94" w:rsidRDefault="00E95D61" w:rsidP="00335B95">
      <w:pPr>
        <w:spacing w:after="160"/>
        <w:contextualSpacing/>
        <w:rPr>
          <w:rFonts w:eastAsia="Times New Roman"/>
          <w:color w:val="000000"/>
        </w:rPr>
      </w:pPr>
      <w:r>
        <w:rPr>
          <w:rFonts w:eastAsia="Times New Roman"/>
          <w:color w:val="000000"/>
        </w:rPr>
        <w:t xml:space="preserve">The TTC </w:t>
      </w:r>
      <w:r w:rsidR="00F6530B">
        <w:rPr>
          <w:rFonts w:eastAsia="Times New Roman"/>
          <w:color w:val="000000"/>
        </w:rPr>
        <w:t xml:space="preserve">is appointed by the NHERI Council and </w:t>
      </w:r>
      <w:r>
        <w:rPr>
          <w:rFonts w:eastAsia="Times New Roman"/>
          <w:color w:val="000000"/>
        </w:rPr>
        <w:t>will be composed of leaders in the engineering community with expertise in the behavior</w:t>
      </w:r>
      <w:r w:rsidR="00773EE2">
        <w:rPr>
          <w:rFonts w:eastAsia="Times New Roman"/>
          <w:color w:val="000000"/>
        </w:rPr>
        <w:t xml:space="preserve">, </w:t>
      </w:r>
      <w:r>
        <w:rPr>
          <w:rFonts w:eastAsia="Times New Roman"/>
          <w:color w:val="000000"/>
        </w:rPr>
        <w:t xml:space="preserve">design </w:t>
      </w:r>
      <w:r w:rsidR="00773EE2">
        <w:rPr>
          <w:rFonts w:eastAsia="Times New Roman"/>
          <w:color w:val="000000"/>
        </w:rPr>
        <w:t xml:space="preserve">and construction </w:t>
      </w:r>
      <w:r>
        <w:rPr>
          <w:rFonts w:eastAsia="Times New Roman"/>
          <w:color w:val="000000"/>
        </w:rPr>
        <w:t>practices using a diverse range of building materials and technical expertise</w:t>
      </w:r>
      <w:r w:rsidR="00D70B94">
        <w:rPr>
          <w:rFonts w:eastAsia="Times New Roman"/>
          <w:color w:val="000000"/>
        </w:rPr>
        <w:t xml:space="preserve">.  </w:t>
      </w:r>
      <w:r w:rsidR="00335B95">
        <w:t xml:space="preserve">An ex officio member from the NHERI NCO </w:t>
      </w:r>
      <w:r w:rsidR="000111DF">
        <w:t>Strategic Committee</w:t>
      </w:r>
      <w:r w:rsidR="00AC5296">
        <w:t xml:space="preserve"> </w:t>
      </w:r>
      <w:r w:rsidR="00335B95">
        <w:t xml:space="preserve">will be </w:t>
      </w:r>
      <w:r w:rsidR="00AC5296">
        <w:t>appointed to keep the NCO leadership apprised of committee progress and coordinate any needs of the committee with the rest of the natural hazard community</w:t>
      </w:r>
      <w:r w:rsidR="00335B95">
        <w:t xml:space="preserve">. </w:t>
      </w:r>
      <w:r w:rsidR="000111DF">
        <w:t xml:space="preserve">In the first year of the TTC, </w:t>
      </w:r>
      <w:r w:rsidR="00A46FD8" w:rsidRPr="005506E4">
        <w:rPr>
          <w:u w:val="single"/>
        </w:rPr>
        <w:t xml:space="preserve">Bill Holmes </w:t>
      </w:r>
      <w:r w:rsidR="000111DF">
        <w:rPr>
          <w:u w:val="single"/>
        </w:rPr>
        <w:t xml:space="preserve">will </w:t>
      </w:r>
      <w:proofErr w:type="gramStart"/>
      <w:r w:rsidR="000111DF" w:rsidRPr="005506E4">
        <w:rPr>
          <w:u w:val="single"/>
        </w:rPr>
        <w:t xml:space="preserve">represent </w:t>
      </w:r>
      <w:r w:rsidR="00A46FD8" w:rsidRPr="005506E4">
        <w:rPr>
          <w:u w:val="single"/>
        </w:rPr>
        <w:t xml:space="preserve"> the</w:t>
      </w:r>
      <w:proofErr w:type="gramEnd"/>
      <w:r w:rsidR="00A46FD8" w:rsidRPr="005506E4">
        <w:rPr>
          <w:u w:val="single"/>
        </w:rPr>
        <w:t xml:space="preserve"> NCO</w:t>
      </w:r>
      <w:r w:rsidR="000111DF" w:rsidRPr="005506E4">
        <w:rPr>
          <w:u w:val="single"/>
        </w:rPr>
        <w:t xml:space="preserve"> in this capacity</w:t>
      </w:r>
      <w:r w:rsidR="00A46FD8" w:rsidRPr="00A46FD8">
        <w:rPr>
          <w:b/>
          <w:i/>
          <w:u w:val="single"/>
        </w:rPr>
        <w:t>.</w:t>
      </w:r>
      <w:r w:rsidR="00A46FD8">
        <w:t xml:space="preserve">  </w:t>
      </w:r>
      <w:r w:rsidR="000111DF">
        <w:t>The User Forum (UF) will appoint one of its members to the TTC. In its first year, the UF elected</w:t>
      </w:r>
      <w:r w:rsidR="000111DF" w:rsidRPr="000111DF">
        <w:t xml:space="preserve"> James O. </w:t>
      </w:r>
      <w:proofErr w:type="spellStart"/>
      <w:r w:rsidR="000111DF" w:rsidRPr="000111DF">
        <w:t>Malley</w:t>
      </w:r>
      <w:proofErr w:type="spellEnd"/>
      <w:r w:rsidR="000111DF" w:rsidRPr="000111DF">
        <w:t xml:space="preserve"> as representative to the TTC.</w:t>
      </w:r>
      <w:r w:rsidR="000111DF">
        <w:t xml:space="preserve"> </w:t>
      </w:r>
      <w:r w:rsidR="00D70B94">
        <w:rPr>
          <w:rFonts w:eastAsia="Times New Roman"/>
          <w:color w:val="000000"/>
        </w:rPr>
        <w:t xml:space="preserve">The </w:t>
      </w:r>
      <w:r w:rsidR="00335B95">
        <w:rPr>
          <w:rFonts w:eastAsia="Times New Roman"/>
          <w:color w:val="000000"/>
        </w:rPr>
        <w:t xml:space="preserve">rest of the </w:t>
      </w:r>
      <w:r w:rsidR="00D70B94">
        <w:rPr>
          <w:rFonts w:eastAsia="Times New Roman"/>
          <w:color w:val="000000"/>
        </w:rPr>
        <w:t xml:space="preserve">committee </w:t>
      </w:r>
      <w:r w:rsidR="00335B95">
        <w:rPr>
          <w:rFonts w:eastAsia="Times New Roman"/>
          <w:color w:val="000000"/>
        </w:rPr>
        <w:t xml:space="preserve">will </w:t>
      </w:r>
      <w:r w:rsidR="00D70B94">
        <w:rPr>
          <w:rFonts w:eastAsia="Times New Roman"/>
          <w:color w:val="000000"/>
        </w:rPr>
        <w:t xml:space="preserve">consist of </w:t>
      </w:r>
      <w:r w:rsidR="00335B95">
        <w:rPr>
          <w:rFonts w:eastAsia="Times New Roman"/>
          <w:color w:val="000000"/>
        </w:rPr>
        <w:t xml:space="preserve">an additional </w:t>
      </w:r>
      <w:r w:rsidR="00D70B94">
        <w:rPr>
          <w:rFonts w:eastAsia="Times New Roman"/>
          <w:color w:val="000000"/>
        </w:rPr>
        <w:t xml:space="preserve">8-10 members </w:t>
      </w:r>
      <w:r w:rsidR="00335B95">
        <w:rPr>
          <w:rFonts w:eastAsia="Times New Roman"/>
          <w:color w:val="000000"/>
        </w:rPr>
        <w:t>with 2-year terms, with the opportunity of re-appointment by the NHERI Council.  The TTC members will be selected to have</w:t>
      </w:r>
      <w:r w:rsidR="00D70B94">
        <w:rPr>
          <w:rFonts w:eastAsia="Times New Roman"/>
          <w:color w:val="000000"/>
        </w:rPr>
        <w:t xml:space="preserve"> representation in the following </w:t>
      </w:r>
      <w:r w:rsidR="00B80F8D">
        <w:rPr>
          <w:rFonts w:eastAsia="Times New Roman"/>
          <w:color w:val="000000"/>
        </w:rPr>
        <w:t>communities</w:t>
      </w:r>
      <w:r w:rsidR="00D70B94">
        <w:rPr>
          <w:rFonts w:eastAsia="Times New Roman"/>
          <w:color w:val="000000"/>
        </w:rPr>
        <w:t>:</w:t>
      </w:r>
    </w:p>
    <w:p w14:paraId="65A6A879" w14:textId="77777777" w:rsidR="00D70B94" w:rsidRDefault="00D70B94" w:rsidP="00E95D61">
      <w:pPr>
        <w:rPr>
          <w:rFonts w:eastAsia="Times New Roman"/>
          <w:color w:val="000000"/>
        </w:rPr>
      </w:pPr>
    </w:p>
    <w:p w14:paraId="11EE22BF" w14:textId="77777777" w:rsidR="00A271F6" w:rsidRDefault="00A271F6" w:rsidP="00B80F8D">
      <w:pPr>
        <w:pStyle w:val="ListParagraph"/>
        <w:numPr>
          <w:ilvl w:val="0"/>
          <w:numId w:val="6"/>
        </w:numPr>
        <w:spacing w:after="160"/>
        <w:contextualSpacing/>
        <w:rPr>
          <w:color w:val="auto"/>
        </w:rPr>
        <w:sectPr w:rsidR="00A271F6">
          <w:footerReference w:type="default" r:id="rId9"/>
          <w:pgSz w:w="12240" w:h="15840"/>
          <w:pgMar w:top="1440" w:right="1440" w:bottom="1440" w:left="1440" w:header="720" w:footer="720" w:gutter="0"/>
          <w:cols w:space="720"/>
          <w:docGrid w:linePitch="360"/>
        </w:sectPr>
      </w:pPr>
    </w:p>
    <w:p w14:paraId="32346DE5" w14:textId="6EE63E3A" w:rsidR="00B46057" w:rsidRDefault="00B46057" w:rsidP="00B80F8D">
      <w:pPr>
        <w:pStyle w:val="ListParagraph"/>
        <w:numPr>
          <w:ilvl w:val="0"/>
          <w:numId w:val="6"/>
        </w:numPr>
        <w:spacing w:after="160"/>
        <w:contextualSpacing/>
        <w:rPr>
          <w:color w:val="auto"/>
        </w:rPr>
      </w:pPr>
      <w:r>
        <w:rPr>
          <w:color w:val="auto"/>
        </w:rPr>
        <w:lastRenderedPageBreak/>
        <w:t>Standards Development</w:t>
      </w:r>
    </w:p>
    <w:p w14:paraId="459A24C4" w14:textId="77777777" w:rsidR="00D70B94" w:rsidRDefault="00D70B94" w:rsidP="00B80F8D">
      <w:pPr>
        <w:pStyle w:val="ListParagraph"/>
        <w:numPr>
          <w:ilvl w:val="0"/>
          <w:numId w:val="6"/>
        </w:numPr>
        <w:spacing w:after="160"/>
        <w:contextualSpacing/>
        <w:rPr>
          <w:color w:val="auto"/>
        </w:rPr>
      </w:pPr>
      <w:r w:rsidRPr="00D70B94">
        <w:rPr>
          <w:color w:val="auto"/>
        </w:rPr>
        <w:t>Earthquake</w:t>
      </w:r>
      <w:r>
        <w:rPr>
          <w:color w:val="auto"/>
        </w:rPr>
        <w:t xml:space="preserve"> </w:t>
      </w:r>
    </w:p>
    <w:p w14:paraId="458141E1" w14:textId="77777777" w:rsidR="00D70B94" w:rsidRDefault="00D70B94" w:rsidP="00B80F8D">
      <w:pPr>
        <w:pStyle w:val="ListParagraph"/>
        <w:numPr>
          <w:ilvl w:val="0"/>
          <w:numId w:val="6"/>
        </w:numPr>
        <w:spacing w:after="160"/>
        <w:contextualSpacing/>
        <w:rPr>
          <w:color w:val="auto"/>
        </w:rPr>
      </w:pPr>
      <w:r w:rsidRPr="00D70B94">
        <w:rPr>
          <w:color w:val="auto"/>
        </w:rPr>
        <w:t>Wind</w:t>
      </w:r>
      <w:r>
        <w:rPr>
          <w:color w:val="auto"/>
        </w:rPr>
        <w:t xml:space="preserve"> </w:t>
      </w:r>
    </w:p>
    <w:p w14:paraId="0AC923F1" w14:textId="77777777" w:rsidR="00D70B94" w:rsidRDefault="00D70B94" w:rsidP="00B80F8D">
      <w:pPr>
        <w:pStyle w:val="ListParagraph"/>
        <w:numPr>
          <w:ilvl w:val="0"/>
          <w:numId w:val="6"/>
        </w:numPr>
        <w:spacing w:after="160"/>
        <w:contextualSpacing/>
        <w:rPr>
          <w:color w:val="auto"/>
        </w:rPr>
      </w:pPr>
      <w:r>
        <w:rPr>
          <w:color w:val="auto"/>
        </w:rPr>
        <w:t xml:space="preserve">Coastal </w:t>
      </w:r>
      <w:r w:rsidR="00B80F8D">
        <w:rPr>
          <w:color w:val="auto"/>
        </w:rPr>
        <w:t>e</w:t>
      </w:r>
      <w:r>
        <w:rPr>
          <w:color w:val="auto"/>
        </w:rPr>
        <w:t xml:space="preserve">ngineering </w:t>
      </w:r>
    </w:p>
    <w:p w14:paraId="617487CD" w14:textId="77777777" w:rsidR="00D70B94" w:rsidRDefault="00D70B94" w:rsidP="00B80F8D">
      <w:pPr>
        <w:pStyle w:val="ListParagraph"/>
        <w:numPr>
          <w:ilvl w:val="0"/>
          <w:numId w:val="6"/>
        </w:numPr>
        <w:spacing w:after="160"/>
        <w:contextualSpacing/>
        <w:rPr>
          <w:color w:val="auto"/>
        </w:rPr>
      </w:pPr>
      <w:r>
        <w:rPr>
          <w:color w:val="auto"/>
        </w:rPr>
        <w:t>Concrete construction</w:t>
      </w:r>
    </w:p>
    <w:p w14:paraId="4E8AA69A" w14:textId="77777777" w:rsidR="00D70B94" w:rsidRDefault="00D70B94" w:rsidP="00B80F8D">
      <w:pPr>
        <w:pStyle w:val="ListParagraph"/>
        <w:numPr>
          <w:ilvl w:val="0"/>
          <w:numId w:val="6"/>
        </w:numPr>
        <w:spacing w:after="160"/>
        <w:contextualSpacing/>
        <w:rPr>
          <w:color w:val="auto"/>
        </w:rPr>
      </w:pPr>
      <w:r>
        <w:rPr>
          <w:color w:val="auto"/>
        </w:rPr>
        <w:t>Masonry construction</w:t>
      </w:r>
    </w:p>
    <w:p w14:paraId="382647B3" w14:textId="77777777" w:rsidR="00B80F8D" w:rsidRDefault="00B80F8D" w:rsidP="00B80F8D">
      <w:pPr>
        <w:pStyle w:val="ListParagraph"/>
        <w:numPr>
          <w:ilvl w:val="0"/>
          <w:numId w:val="6"/>
        </w:numPr>
        <w:spacing w:after="160"/>
        <w:contextualSpacing/>
        <w:rPr>
          <w:color w:val="auto"/>
        </w:rPr>
      </w:pPr>
      <w:r>
        <w:rPr>
          <w:color w:val="auto"/>
        </w:rPr>
        <w:t>Wood construction</w:t>
      </w:r>
    </w:p>
    <w:p w14:paraId="2F996B21" w14:textId="02F5C374" w:rsidR="00127701" w:rsidRDefault="00127701" w:rsidP="00B80F8D">
      <w:pPr>
        <w:pStyle w:val="ListParagraph"/>
        <w:numPr>
          <w:ilvl w:val="0"/>
          <w:numId w:val="6"/>
        </w:numPr>
        <w:spacing w:after="160"/>
        <w:contextualSpacing/>
        <w:rPr>
          <w:color w:val="auto"/>
        </w:rPr>
      </w:pPr>
      <w:r>
        <w:rPr>
          <w:color w:val="auto"/>
        </w:rPr>
        <w:lastRenderedPageBreak/>
        <w:t>Geotechnical</w:t>
      </w:r>
    </w:p>
    <w:p w14:paraId="2BAFA74F" w14:textId="77777777" w:rsidR="00B80F8D" w:rsidRDefault="00B80F8D" w:rsidP="00B80F8D">
      <w:pPr>
        <w:pStyle w:val="ListParagraph"/>
        <w:numPr>
          <w:ilvl w:val="0"/>
          <w:numId w:val="6"/>
        </w:numPr>
        <w:spacing w:after="160"/>
        <w:contextualSpacing/>
        <w:rPr>
          <w:color w:val="auto"/>
        </w:rPr>
      </w:pPr>
      <w:r>
        <w:rPr>
          <w:color w:val="auto"/>
        </w:rPr>
        <w:t>Steel construction</w:t>
      </w:r>
    </w:p>
    <w:p w14:paraId="0CB23EC5" w14:textId="77777777" w:rsidR="00D70B94" w:rsidRPr="00D70B94" w:rsidRDefault="00D70B94" w:rsidP="00B80F8D">
      <w:pPr>
        <w:pStyle w:val="ListParagraph"/>
        <w:numPr>
          <w:ilvl w:val="0"/>
          <w:numId w:val="6"/>
        </w:numPr>
        <w:spacing w:after="160"/>
        <w:contextualSpacing/>
        <w:rPr>
          <w:color w:val="auto"/>
        </w:rPr>
      </w:pPr>
      <w:r>
        <w:rPr>
          <w:color w:val="auto"/>
        </w:rPr>
        <w:t>Architectural</w:t>
      </w:r>
      <w:r w:rsidR="00127701">
        <w:rPr>
          <w:color w:val="auto"/>
        </w:rPr>
        <w:t xml:space="preserve"> (building envelope)</w:t>
      </w:r>
    </w:p>
    <w:p w14:paraId="2D1EC078" w14:textId="77777777" w:rsidR="00D70B94" w:rsidRPr="00D70B94" w:rsidRDefault="00D70B94" w:rsidP="00B80F8D">
      <w:pPr>
        <w:pStyle w:val="ListParagraph"/>
        <w:numPr>
          <w:ilvl w:val="0"/>
          <w:numId w:val="6"/>
        </w:numPr>
        <w:spacing w:after="160"/>
        <w:contextualSpacing/>
        <w:rPr>
          <w:color w:val="auto"/>
        </w:rPr>
      </w:pPr>
      <w:r w:rsidRPr="00D70B94">
        <w:rPr>
          <w:color w:val="auto"/>
        </w:rPr>
        <w:t>Lifeline infrastructure</w:t>
      </w:r>
    </w:p>
    <w:p w14:paraId="0FCA7837" w14:textId="77777777" w:rsidR="00D70B94" w:rsidRPr="00D70B94" w:rsidRDefault="00D70B94" w:rsidP="00B80F8D">
      <w:pPr>
        <w:pStyle w:val="ListParagraph"/>
        <w:numPr>
          <w:ilvl w:val="0"/>
          <w:numId w:val="6"/>
        </w:numPr>
        <w:spacing w:after="160"/>
        <w:contextualSpacing/>
        <w:rPr>
          <w:color w:val="auto"/>
        </w:rPr>
      </w:pPr>
      <w:r w:rsidRPr="00D70B94">
        <w:rPr>
          <w:color w:val="auto"/>
        </w:rPr>
        <w:t xml:space="preserve">Social sciences and </w:t>
      </w:r>
      <w:r w:rsidR="00B80F8D">
        <w:rPr>
          <w:color w:val="auto"/>
        </w:rPr>
        <w:t>p</w:t>
      </w:r>
      <w:r w:rsidRPr="00D70B94">
        <w:rPr>
          <w:color w:val="auto"/>
        </w:rPr>
        <w:t>olicy</w:t>
      </w:r>
    </w:p>
    <w:p w14:paraId="7E12D191" w14:textId="30517303" w:rsidR="007D3961" w:rsidRDefault="00D70B94" w:rsidP="007D3961">
      <w:pPr>
        <w:pStyle w:val="ListParagraph"/>
        <w:numPr>
          <w:ilvl w:val="0"/>
          <w:numId w:val="6"/>
        </w:numPr>
        <w:spacing w:after="160"/>
        <w:contextualSpacing/>
        <w:rPr>
          <w:color w:val="auto"/>
        </w:rPr>
      </w:pPr>
      <w:r w:rsidRPr="00D70B94">
        <w:rPr>
          <w:color w:val="auto"/>
        </w:rPr>
        <w:t>International</w:t>
      </w:r>
    </w:p>
    <w:p w14:paraId="5C8C2AAA" w14:textId="77777777" w:rsidR="00A271F6" w:rsidRDefault="00A271F6" w:rsidP="00335B95">
      <w:pPr>
        <w:spacing w:after="160"/>
        <w:contextualSpacing/>
        <w:sectPr w:rsidR="00A271F6" w:rsidSect="00A271F6">
          <w:type w:val="continuous"/>
          <w:pgSz w:w="12240" w:h="15840"/>
          <w:pgMar w:top="1440" w:right="1440" w:bottom="1440" w:left="1440" w:header="720" w:footer="720" w:gutter="0"/>
          <w:cols w:num="2" w:space="720"/>
          <w:docGrid w:linePitch="360"/>
        </w:sectPr>
      </w:pPr>
    </w:p>
    <w:p w14:paraId="1F982F0C" w14:textId="77B7AD9C" w:rsidR="00335B95" w:rsidRDefault="00335B95" w:rsidP="00335B95">
      <w:pPr>
        <w:spacing w:after="160"/>
        <w:contextualSpacing/>
      </w:pPr>
    </w:p>
    <w:p w14:paraId="658353A5" w14:textId="56251BE1" w:rsidR="0085544D" w:rsidRDefault="00335B95" w:rsidP="00335B95">
      <w:pPr>
        <w:spacing w:after="160"/>
        <w:contextualSpacing/>
      </w:pPr>
      <w:r>
        <w:t xml:space="preserve">Once the committee is formed, the TTC will convene to select a chair and </w:t>
      </w:r>
      <w:r w:rsidR="00926A37">
        <w:t>develop</w:t>
      </w:r>
      <w:r>
        <w:t xml:space="preserve"> operating procedures</w:t>
      </w:r>
      <w:r w:rsidR="00926A37">
        <w:t xml:space="preserve"> using the guidance provided in this document and the following </w:t>
      </w:r>
      <w:r w:rsidR="0085544D">
        <w:t>suggested structure:</w:t>
      </w:r>
    </w:p>
    <w:p w14:paraId="25B22688" w14:textId="77777777" w:rsidR="0085544D" w:rsidRPr="008E6FB0" w:rsidRDefault="0085544D" w:rsidP="00335B95">
      <w:pPr>
        <w:spacing w:after="160"/>
        <w:contextualSpacing/>
      </w:pPr>
    </w:p>
    <w:p w14:paraId="3E7CEE92" w14:textId="40597D75" w:rsidR="0085544D" w:rsidRPr="008E6FB0" w:rsidRDefault="0085544D" w:rsidP="008E6FB0">
      <w:pPr>
        <w:pStyle w:val="ListParagraph"/>
        <w:numPr>
          <w:ilvl w:val="0"/>
          <w:numId w:val="8"/>
        </w:numPr>
        <w:spacing w:after="160"/>
        <w:contextualSpacing/>
        <w:rPr>
          <w:b/>
          <w:color w:val="auto"/>
        </w:rPr>
      </w:pPr>
      <w:r w:rsidRPr="008E6FB0">
        <w:rPr>
          <w:b/>
          <w:color w:val="auto"/>
        </w:rPr>
        <w:t>Purpose</w:t>
      </w:r>
    </w:p>
    <w:p w14:paraId="59D93599" w14:textId="0A1248CF" w:rsidR="0085544D" w:rsidRPr="008E6FB0" w:rsidRDefault="0085544D" w:rsidP="008E6FB0">
      <w:pPr>
        <w:pStyle w:val="ListParagraph"/>
        <w:numPr>
          <w:ilvl w:val="0"/>
          <w:numId w:val="8"/>
        </w:numPr>
        <w:spacing w:after="160"/>
        <w:contextualSpacing/>
        <w:rPr>
          <w:color w:val="auto"/>
        </w:rPr>
      </w:pPr>
      <w:r w:rsidRPr="008E6FB0">
        <w:rPr>
          <w:b/>
          <w:color w:val="auto"/>
        </w:rPr>
        <w:t>Membership</w:t>
      </w:r>
      <w:r w:rsidR="008E6FB0">
        <w:rPr>
          <w:color w:val="auto"/>
        </w:rPr>
        <w:t>: number of members;</w:t>
      </w:r>
      <w:r w:rsidRPr="008E6FB0">
        <w:rPr>
          <w:color w:val="auto"/>
        </w:rPr>
        <w:t xml:space="preserve"> process for appointment and terms</w:t>
      </w:r>
      <w:r w:rsidR="008E6FB0">
        <w:rPr>
          <w:color w:val="auto"/>
        </w:rPr>
        <w:t>; ex-officio</w:t>
      </w:r>
    </w:p>
    <w:p w14:paraId="6FFD5F18" w14:textId="1140C0D5" w:rsidR="0085544D" w:rsidRPr="008E6FB0" w:rsidRDefault="0085544D" w:rsidP="008E6FB0">
      <w:pPr>
        <w:pStyle w:val="ListParagraph"/>
        <w:numPr>
          <w:ilvl w:val="0"/>
          <w:numId w:val="8"/>
        </w:numPr>
        <w:spacing w:after="160"/>
        <w:contextualSpacing/>
        <w:rPr>
          <w:color w:val="auto"/>
        </w:rPr>
      </w:pPr>
      <w:r w:rsidRPr="008E6FB0">
        <w:rPr>
          <w:b/>
          <w:color w:val="auto"/>
        </w:rPr>
        <w:t>Officers</w:t>
      </w:r>
      <w:r w:rsidRPr="008E6FB0">
        <w:rPr>
          <w:color w:val="auto"/>
        </w:rPr>
        <w:t xml:space="preserve">: chair, </w:t>
      </w:r>
      <w:r w:rsidR="008E6FB0">
        <w:rPr>
          <w:color w:val="auto"/>
        </w:rPr>
        <w:t>vice chair and secretary; process for selection;</w:t>
      </w:r>
      <w:r w:rsidRPr="008E6FB0">
        <w:rPr>
          <w:color w:val="auto"/>
        </w:rPr>
        <w:t xml:space="preserve"> terms of appointment</w:t>
      </w:r>
    </w:p>
    <w:p w14:paraId="075D9F6C" w14:textId="07299942" w:rsidR="0085544D" w:rsidRPr="008E6FB0" w:rsidRDefault="0085544D" w:rsidP="008E6FB0">
      <w:pPr>
        <w:pStyle w:val="ListParagraph"/>
        <w:numPr>
          <w:ilvl w:val="0"/>
          <w:numId w:val="8"/>
        </w:numPr>
        <w:spacing w:after="160"/>
        <w:contextualSpacing/>
        <w:rPr>
          <w:color w:val="auto"/>
        </w:rPr>
      </w:pPr>
      <w:r w:rsidRPr="008E6FB0">
        <w:rPr>
          <w:b/>
          <w:color w:val="auto"/>
        </w:rPr>
        <w:t>Meetings</w:t>
      </w:r>
      <w:r w:rsidRPr="008E6FB0">
        <w:rPr>
          <w:color w:val="auto"/>
        </w:rPr>
        <w:t>: number, remote participation or in person, record of minutes</w:t>
      </w:r>
    </w:p>
    <w:p w14:paraId="7CC0C90D" w14:textId="33F2EE87" w:rsidR="0085544D" w:rsidRPr="008E6FB0" w:rsidRDefault="0085544D" w:rsidP="008E6FB0">
      <w:pPr>
        <w:pStyle w:val="ListParagraph"/>
        <w:numPr>
          <w:ilvl w:val="0"/>
          <w:numId w:val="8"/>
        </w:numPr>
        <w:spacing w:after="160"/>
        <w:contextualSpacing/>
        <w:rPr>
          <w:color w:val="auto"/>
        </w:rPr>
      </w:pPr>
      <w:r w:rsidRPr="008E6FB0">
        <w:rPr>
          <w:b/>
          <w:color w:val="auto"/>
        </w:rPr>
        <w:t>Quorum and Voting</w:t>
      </w:r>
      <w:r w:rsidRPr="008E6FB0">
        <w:rPr>
          <w:color w:val="auto"/>
        </w:rPr>
        <w:t xml:space="preserve">: </w:t>
      </w:r>
      <w:r w:rsidR="00A271F6">
        <w:rPr>
          <w:color w:val="auto"/>
        </w:rPr>
        <w:t xml:space="preserve">constitution of </w:t>
      </w:r>
      <w:r w:rsidRPr="008E6FB0">
        <w:rPr>
          <w:color w:val="auto"/>
        </w:rPr>
        <w:t>majority</w:t>
      </w:r>
      <w:r w:rsidR="00A271F6">
        <w:rPr>
          <w:color w:val="auto"/>
        </w:rPr>
        <w:t>; balloting procedures</w:t>
      </w:r>
    </w:p>
    <w:p w14:paraId="6A2B8EC9" w14:textId="1489B2AF" w:rsidR="00605745" w:rsidRPr="008E6FB0" w:rsidRDefault="0085544D" w:rsidP="008E6FB0">
      <w:pPr>
        <w:pStyle w:val="ListParagraph"/>
        <w:numPr>
          <w:ilvl w:val="0"/>
          <w:numId w:val="8"/>
        </w:numPr>
        <w:spacing w:after="160"/>
        <w:contextualSpacing/>
        <w:rPr>
          <w:color w:val="auto"/>
        </w:rPr>
      </w:pPr>
      <w:r w:rsidRPr="008E6FB0">
        <w:rPr>
          <w:b/>
          <w:color w:val="auto"/>
        </w:rPr>
        <w:t>Disclosure of Activities</w:t>
      </w:r>
      <w:r w:rsidRPr="008E6FB0">
        <w:rPr>
          <w:color w:val="auto"/>
        </w:rPr>
        <w:t xml:space="preserve">: </w:t>
      </w:r>
      <w:r w:rsidR="00605745" w:rsidRPr="008E6FB0">
        <w:rPr>
          <w:color w:val="auto"/>
        </w:rPr>
        <w:t>the committee will be required to report quarterly to the NHERI Council regarding their activities and progress on implem</w:t>
      </w:r>
      <w:r w:rsidR="00A271F6">
        <w:rPr>
          <w:color w:val="auto"/>
        </w:rPr>
        <w:t>enting research into practice</w:t>
      </w:r>
    </w:p>
    <w:p w14:paraId="2CBFB765" w14:textId="112C7064" w:rsidR="00F6530B" w:rsidRPr="008E6FB0" w:rsidRDefault="0085544D" w:rsidP="008E6FB0">
      <w:pPr>
        <w:pStyle w:val="ListParagraph"/>
        <w:numPr>
          <w:ilvl w:val="0"/>
          <w:numId w:val="8"/>
        </w:numPr>
        <w:spacing w:after="160"/>
        <w:contextualSpacing/>
        <w:rPr>
          <w:color w:val="auto"/>
        </w:rPr>
      </w:pPr>
      <w:r w:rsidRPr="008E6FB0">
        <w:rPr>
          <w:b/>
          <w:color w:val="auto"/>
        </w:rPr>
        <w:t>Dissolution</w:t>
      </w:r>
      <w:r w:rsidRPr="008E6FB0">
        <w:rPr>
          <w:color w:val="auto"/>
        </w:rPr>
        <w:t>: The TTC may be dissolved at any time by the Council</w:t>
      </w:r>
    </w:p>
    <w:p w14:paraId="75C282AA" w14:textId="77777777" w:rsidR="00D70B94" w:rsidRDefault="00D70B94" w:rsidP="00D70B94">
      <w:pPr>
        <w:pStyle w:val="ListParagraph"/>
        <w:rPr>
          <w:color w:val="auto"/>
        </w:rPr>
      </w:pPr>
    </w:p>
    <w:p w14:paraId="513A2BF1" w14:textId="77777777" w:rsidR="00480314" w:rsidRDefault="00480314" w:rsidP="00E85BC3">
      <w:pPr>
        <w:rPr>
          <w:b/>
          <w:i/>
        </w:rPr>
      </w:pPr>
    </w:p>
    <w:p w14:paraId="3FB4A933" w14:textId="77777777" w:rsidR="00480314" w:rsidRDefault="00480314" w:rsidP="00E85BC3">
      <w:pPr>
        <w:rPr>
          <w:b/>
          <w:i/>
        </w:rPr>
      </w:pPr>
    </w:p>
    <w:p w14:paraId="421BAFB0" w14:textId="3D078630" w:rsidR="00890FE8" w:rsidRPr="007A778D" w:rsidRDefault="007A778D" w:rsidP="00E85BC3">
      <w:pPr>
        <w:rPr>
          <w:b/>
          <w:i/>
        </w:rPr>
      </w:pPr>
      <w:r w:rsidRPr="007A778D">
        <w:rPr>
          <w:b/>
          <w:i/>
        </w:rPr>
        <w:lastRenderedPageBreak/>
        <w:t xml:space="preserve">Process and </w:t>
      </w:r>
      <w:r w:rsidR="00DA660D">
        <w:rPr>
          <w:b/>
          <w:i/>
        </w:rPr>
        <w:t>Activities</w:t>
      </w:r>
    </w:p>
    <w:p w14:paraId="3B2FDD90" w14:textId="77777777" w:rsidR="00890FE8" w:rsidRDefault="00890FE8" w:rsidP="00E85BC3"/>
    <w:p w14:paraId="3653A2FF" w14:textId="1B9715A9" w:rsidR="00E85BC3" w:rsidRDefault="00E85BC3" w:rsidP="00E85BC3">
      <w:r>
        <w:t>T</w:t>
      </w:r>
      <w:r w:rsidRPr="006A698D">
        <w:t xml:space="preserve">he </w:t>
      </w:r>
      <w:r>
        <w:t>initial</w:t>
      </w:r>
      <w:r w:rsidRPr="006A698D">
        <w:t xml:space="preserve"> objective </w:t>
      </w:r>
      <w:r>
        <w:t>of the TTC</w:t>
      </w:r>
      <w:r w:rsidRPr="006A698D">
        <w:t xml:space="preserve"> will be to identify key projects that have been completed in </w:t>
      </w:r>
      <w:r w:rsidR="00320253">
        <w:t xml:space="preserve">recent years </w:t>
      </w:r>
      <w:r w:rsidRPr="006A698D">
        <w:t>of wind, surge, tsunami, inundation, and earthquake research that could lead to new design guidelines, building code, or standards provisions that reduce the risk to civil infrastructure</w:t>
      </w:r>
      <w:r>
        <w:t>.  Other activities</w:t>
      </w:r>
      <w:r w:rsidRPr="006A698D">
        <w:t xml:space="preserve"> related to technology transfer </w:t>
      </w:r>
      <w:r>
        <w:t>include determining appropriate topics for</w:t>
      </w:r>
      <w:r w:rsidRPr="006A698D">
        <w:t xml:space="preserve"> webinars</w:t>
      </w:r>
      <w:r>
        <w:t xml:space="preserve"> to the community and proposing</w:t>
      </w:r>
      <w:r w:rsidRPr="006A698D">
        <w:t xml:space="preserve"> day-long, by invitation, web-based workshop</w:t>
      </w:r>
      <w:r>
        <w:t>s</w:t>
      </w:r>
      <w:r w:rsidRPr="006A698D">
        <w:t xml:space="preserve"> (or in-person workshop with support of the NHERI Council) with the purpose of reviewing the results of key projects, and then drafting resolutions, strategies, and timelines for near-future guidelines, building codes</w:t>
      </w:r>
      <w:r w:rsidR="00D70B94">
        <w:t>, technical briefs, seminars,</w:t>
      </w:r>
      <w:r w:rsidRPr="006A698D">
        <w:t xml:space="preserve"> and standard development in areas relevant to NHERI research.</w:t>
      </w:r>
      <w:r w:rsidR="00462987">
        <w:t xml:space="preserve">  </w:t>
      </w:r>
      <w:r w:rsidR="00462987" w:rsidRPr="00462987">
        <w:rPr>
          <w:b/>
          <w:i/>
        </w:rPr>
        <w:t xml:space="preserve">All TTC members will be asked to “champion” projects that are endorsed by the committee </w:t>
      </w:r>
      <w:r w:rsidR="00462987">
        <w:t xml:space="preserve">by promoting their acceptance into engineering practice through a variety of methods, including developing code-change proposals, technical committee documents, technical briefs, organizing webinars, workshops, government briefings, etc. </w:t>
      </w:r>
    </w:p>
    <w:p w14:paraId="522EE391" w14:textId="77777777" w:rsidR="007D3961" w:rsidRDefault="007D3961" w:rsidP="00E85BC3"/>
    <w:p w14:paraId="52988D1B" w14:textId="7CC9B282" w:rsidR="007D3961" w:rsidRDefault="007D3961" w:rsidP="00E85BC3">
      <w:r>
        <w:t xml:space="preserve">A secondary objective </w:t>
      </w:r>
      <w:r w:rsidR="00462987">
        <w:t xml:space="preserve">of the TTC is to review </w:t>
      </w:r>
      <w:proofErr w:type="gramStart"/>
      <w:r w:rsidR="00462987">
        <w:t>newly-awarded</w:t>
      </w:r>
      <w:proofErr w:type="gramEnd"/>
      <w:r w:rsidR="00462987">
        <w:t xml:space="preserve"> projects </w:t>
      </w:r>
      <w:r>
        <w:t xml:space="preserve">and </w:t>
      </w:r>
      <w:r w:rsidR="00462987">
        <w:t xml:space="preserve">advise investigators on how </w:t>
      </w:r>
      <w:r>
        <w:t xml:space="preserve">the results of the project can be </w:t>
      </w:r>
      <w:r w:rsidR="00462987">
        <w:t>more-</w:t>
      </w:r>
      <w:r>
        <w:t>easily implemented into practice.</w:t>
      </w:r>
      <w:r w:rsidR="00462987">
        <w:t xml:space="preserve">  This advice may include suggestions for new/revised experimental parameters, additional simulations, key presentation venues, etc.  In this way, the TTC may become a critical resource for natural hazard researchers, especially for early-career faculty</w:t>
      </w:r>
      <w:r w:rsidR="006C28E8">
        <w:t xml:space="preserve"> with less experience implementing research results into practice.  </w:t>
      </w:r>
    </w:p>
    <w:p w14:paraId="416A1462" w14:textId="77777777" w:rsidR="007D3961" w:rsidRPr="00AC5296" w:rsidRDefault="007D3961" w:rsidP="00E85BC3">
      <w:pPr>
        <w:rPr>
          <w:b/>
          <w:i/>
        </w:rPr>
      </w:pPr>
    </w:p>
    <w:p w14:paraId="54E2E0E8" w14:textId="1B2157ED" w:rsidR="0066186D" w:rsidRPr="00AC5296" w:rsidRDefault="0066186D" w:rsidP="00E85BC3">
      <w:pPr>
        <w:rPr>
          <w:b/>
          <w:i/>
        </w:rPr>
      </w:pPr>
      <w:r w:rsidRPr="00AC5296">
        <w:rPr>
          <w:b/>
          <w:i/>
        </w:rPr>
        <w:t>Activities</w:t>
      </w:r>
      <w:r w:rsidR="00E95D61" w:rsidRPr="00AC5296">
        <w:rPr>
          <w:b/>
          <w:i/>
        </w:rPr>
        <w:t xml:space="preserve"> </w:t>
      </w:r>
      <w:r w:rsidR="00773EE2" w:rsidRPr="00AC5296">
        <w:rPr>
          <w:b/>
          <w:i/>
        </w:rPr>
        <w:t>in Year 1</w:t>
      </w:r>
      <w:r w:rsidRPr="00AC5296">
        <w:rPr>
          <w:b/>
          <w:i/>
        </w:rPr>
        <w:t>:</w:t>
      </w:r>
    </w:p>
    <w:p w14:paraId="1EDB00D2" w14:textId="77777777" w:rsidR="0066186D" w:rsidRDefault="0066186D" w:rsidP="00E85BC3"/>
    <w:p w14:paraId="52BB3847" w14:textId="33C6BEC4" w:rsidR="0066186D" w:rsidRPr="00D70B94" w:rsidRDefault="006C28E8" w:rsidP="0066186D">
      <w:pPr>
        <w:pStyle w:val="ListParagraph"/>
        <w:numPr>
          <w:ilvl w:val="0"/>
          <w:numId w:val="4"/>
        </w:numPr>
        <w:rPr>
          <w:color w:val="auto"/>
        </w:rPr>
      </w:pPr>
      <w:r>
        <w:rPr>
          <w:color w:val="auto"/>
        </w:rPr>
        <w:t>The TTC is charged to seek out and nominate research that should be brought into practice to reduce the natural hazard risk to infrastructure.  As part of this effort, t</w:t>
      </w:r>
      <w:r w:rsidR="00E95D61" w:rsidRPr="00D70B94">
        <w:rPr>
          <w:color w:val="auto"/>
        </w:rPr>
        <w:t xml:space="preserve">he </w:t>
      </w:r>
      <w:r>
        <w:rPr>
          <w:color w:val="auto"/>
        </w:rPr>
        <w:t>TTC will</w:t>
      </w:r>
      <w:r w:rsidR="0066186D" w:rsidRPr="00D70B94">
        <w:rPr>
          <w:color w:val="auto"/>
        </w:rPr>
        <w:t xml:space="preserve"> </w:t>
      </w:r>
      <w:r>
        <w:rPr>
          <w:color w:val="auto"/>
        </w:rPr>
        <w:t>solicit</w:t>
      </w:r>
      <w:r w:rsidR="0066186D" w:rsidRPr="00D70B94">
        <w:rPr>
          <w:color w:val="auto"/>
        </w:rPr>
        <w:t xml:space="preserve"> nominations from the </w:t>
      </w:r>
      <w:r w:rsidR="007D3961" w:rsidRPr="006C28E8">
        <w:rPr>
          <w:i/>
          <w:color w:val="auto"/>
        </w:rPr>
        <w:t>broad</w:t>
      </w:r>
      <w:r w:rsidR="007D3961">
        <w:rPr>
          <w:color w:val="auto"/>
        </w:rPr>
        <w:t xml:space="preserve"> </w:t>
      </w:r>
      <w:r w:rsidR="0066186D" w:rsidRPr="00D70B94">
        <w:rPr>
          <w:color w:val="auto"/>
        </w:rPr>
        <w:t xml:space="preserve">NHERI community of research results that are ready for implementation into practice.  Nominations will include the title of the research project, sponsoring agency, contributing investigators, experimental sites, copies </w:t>
      </w:r>
      <w:r w:rsidR="00A3547B">
        <w:rPr>
          <w:color w:val="auto"/>
        </w:rPr>
        <w:t xml:space="preserve">of </w:t>
      </w:r>
      <w:r w:rsidR="0066186D" w:rsidRPr="00D70B94">
        <w:rPr>
          <w:color w:val="auto"/>
        </w:rPr>
        <w:t xml:space="preserve">peer-reviewed publications, and a </w:t>
      </w:r>
      <w:proofErr w:type="gramStart"/>
      <w:r w:rsidR="0066186D" w:rsidRPr="00D70B94">
        <w:rPr>
          <w:color w:val="auto"/>
        </w:rPr>
        <w:t>100 word</w:t>
      </w:r>
      <w:proofErr w:type="gramEnd"/>
      <w:r w:rsidR="0066186D" w:rsidRPr="00D70B94">
        <w:rPr>
          <w:color w:val="auto"/>
        </w:rPr>
        <w:t xml:space="preserve"> statement of impact for the nominated research product.  </w:t>
      </w:r>
    </w:p>
    <w:p w14:paraId="736ADA46" w14:textId="5EBF769A" w:rsidR="00E95D61" w:rsidRPr="00D70B94" w:rsidRDefault="00E95D61" w:rsidP="0066186D">
      <w:pPr>
        <w:pStyle w:val="ListParagraph"/>
        <w:numPr>
          <w:ilvl w:val="0"/>
          <w:numId w:val="4"/>
        </w:numPr>
        <w:rPr>
          <w:color w:val="auto"/>
        </w:rPr>
      </w:pPr>
      <w:r w:rsidRPr="00D70B94">
        <w:rPr>
          <w:color w:val="auto"/>
        </w:rPr>
        <w:t xml:space="preserve">The TTC holds a teleconference to agree upon review criteria for nominated research projects to determine which results </w:t>
      </w:r>
      <w:proofErr w:type="gramStart"/>
      <w:r w:rsidRPr="00D70B94">
        <w:rPr>
          <w:color w:val="auto"/>
        </w:rPr>
        <w:t xml:space="preserve">will be </w:t>
      </w:r>
      <w:r w:rsidR="00773EE2">
        <w:rPr>
          <w:color w:val="auto"/>
        </w:rPr>
        <w:t>endorsed</w:t>
      </w:r>
      <w:r w:rsidR="00773EE2" w:rsidRPr="00D70B94">
        <w:rPr>
          <w:color w:val="auto"/>
        </w:rPr>
        <w:t xml:space="preserve"> </w:t>
      </w:r>
      <w:r w:rsidRPr="00D70B94">
        <w:rPr>
          <w:color w:val="auto"/>
        </w:rPr>
        <w:t>by the committee for implementation into practice</w:t>
      </w:r>
      <w:proofErr w:type="gramEnd"/>
      <w:r w:rsidRPr="00D70B94">
        <w:rPr>
          <w:color w:val="auto"/>
        </w:rPr>
        <w:t>.</w:t>
      </w:r>
    </w:p>
    <w:p w14:paraId="6544B181" w14:textId="527B186B" w:rsidR="00E95D61" w:rsidRPr="00D70B94" w:rsidRDefault="00E95D61" w:rsidP="0066186D">
      <w:pPr>
        <w:pStyle w:val="ListParagraph"/>
        <w:numPr>
          <w:ilvl w:val="0"/>
          <w:numId w:val="4"/>
        </w:numPr>
        <w:rPr>
          <w:color w:val="auto"/>
        </w:rPr>
      </w:pPr>
      <w:r w:rsidRPr="00D70B94">
        <w:rPr>
          <w:color w:val="auto"/>
        </w:rPr>
        <w:t>Each TTC member reviews the nominated research and provide</w:t>
      </w:r>
      <w:r w:rsidR="00C55FD6">
        <w:rPr>
          <w:color w:val="auto"/>
        </w:rPr>
        <w:t>s</w:t>
      </w:r>
      <w:r w:rsidRPr="00D70B94">
        <w:rPr>
          <w:color w:val="auto"/>
        </w:rPr>
        <w:t xml:space="preserve"> scores to the TTC chair.</w:t>
      </w:r>
    </w:p>
    <w:p w14:paraId="175A884B" w14:textId="28C87D9E" w:rsidR="00D70B94" w:rsidRPr="00D70B94" w:rsidRDefault="00E95D61" w:rsidP="0066186D">
      <w:pPr>
        <w:pStyle w:val="ListParagraph"/>
        <w:numPr>
          <w:ilvl w:val="0"/>
          <w:numId w:val="4"/>
        </w:numPr>
        <w:rPr>
          <w:color w:val="auto"/>
        </w:rPr>
      </w:pPr>
      <w:r w:rsidRPr="00D70B94">
        <w:rPr>
          <w:color w:val="auto"/>
        </w:rPr>
        <w:t xml:space="preserve">The TTC holds a teleconference to review the results and choose </w:t>
      </w:r>
      <w:r w:rsidR="00CC3242">
        <w:rPr>
          <w:color w:val="auto"/>
        </w:rPr>
        <w:t>projects</w:t>
      </w:r>
      <w:r w:rsidRPr="00D70B94">
        <w:rPr>
          <w:color w:val="auto"/>
        </w:rPr>
        <w:t xml:space="preserve"> </w:t>
      </w:r>
      <w:r w:rsidR="0002302F">
        <w:rPr>
          <w:color w:val="auto"/>
        </w:rPr>
        <w:t>to endorse for</w:t>
      </w:r>
      <w:r w:rsidRPr="00D70B94">
        <w:rPr>
          <w:color w:val="auto"/>
        </w:rPr>
        <w:t xml:space="preserve"> implementation into practice. </w:t>
      </w:r>
      <w:r w:rsidR="00CC3242">
        <w:rPr>
          <w:color w:val="auto"/>
        </w:rPr>
        <w:t xml:space="preserve"> Each </w:t>
      </w:r>
      <w:r w:rsidR="0002302F">
        <w:rPr>
          <w:color w:val="auto"/>
        </w:rPr>
        <w:t>endorsed</w:t>
      </w:r>
      <w:r w:rsidR="00CC3242">
        <w:rPr>
          <w:color w:val="auto"/>
        </w:rPr>
        <w:t xml:space="preserve"> project will be assigned</w:t>
      </w:r>
      <w:r w:rsidRPr="00D70B94">
        <w:rPr>
          <w:color w:val="auto"/>
        </w:rPr>
        <w:t xml:space="preserve"> </w:t>
      </w:r>
      <w:r w:rsidR="00CC3242">
        <w:rPr>
          <w:color w:val="auto"/>
        </w:rPr>
        <w:t>a TTC member champion (primary supporter).</w:t>
      </w:r>
    </w:p>
    <w:p w14:paraId="072B6457" w14:textId="59AB70A7" w:rsidR="00E95D61" w:rsidRPr="00D70B94" w:rsidRDefault="00E67D4D" w:rsidP="0066186D">
      <w:pPr>
        <w:pStyle w:val="ListParagraph"/>
        <w:numPr>
          <w:ilvl w:val="0"/>
          <w:numId w:val="4"/>
        </w:numPr>
        <w:rPr>
          <w:color w:val="auto"/>
        </w:rPr>
      </w:pPr>
      <w:r>
        <w:rPr>
          <w:color w:val="auto"/>
        </w:rPr>
        <w:t>T</w:t>
      </w:r>
      <w:r w:rsidR="00E95D61" w:rsidRPr="00D70B94">
        <w:rPr>
          <w:color w:val="auto"/>
        </w:rPr>
        <w:t xml:space="preserve">he </w:t>
      </w:r>
      <w:r w:rsidR="00CC3242">
        <w:rPr>
          <w:color w:val="auto"/>
        </w:rPr>
        <w:t>TTC champion</w:t>
      </w:r>
      <w:r w:rsidR="00E95D61" w:rsidRPr="00D70B94">
        <w:rPr>
          <w:color w:val="auto"/>
        </w:rPr>
        <w:t xml:space="preserve"> </w:t>
      </w:r>
      <w:r w:rsidR="00CC3242">
        <w:rPr>
          <w:color w:val="auto"/>
        </w:rPr>
        <w:t xml:space="preserve">for each </w:t>
      </w:r>
      <w:r w:rsidR="0002302F">
        <w:rPr>
          <w:color w:val="auto"/>
        </w:rPr>
        <w:t>endorsed</w:t>
      </w:r>
      <w:r w:rsidR="00CC3242">
        <w:rPr>
          <w:color w:val="auto"/>
        </w:rPr>
        <w:t xml:space="preserve"> project </w:t>
      </w:r>
      <w:r w:rsidR="00C55FD6">
        <w:rPr>
          <w:color w:val="auto"/>
        </w:rPr>
        <w:t xml:space="preserve">will work </w:t>
      </w:r>
      <w:r w:rsidR="0002302F">
        <w:rPr>
          <w:color w:val="auto"/>
        </w:rPr>
        <w:t xml:space="preserve">with the engineering community </w:t>
      </w:r>
      <w:r w:rsidR="00C55FD6">
        <w:rPr>
          <w:color w:val="auto"/>
        </w:rPr>
        <w:t xml:space="preserve">to implement ideas from the project into practice </w:t>
      </w:r>
      <w:r w:rsidR="00E95D61" w:rsidRPr="00D70B94">
        <w:rPr>
          <w:color w:val="auto"/>
        </w:rPr>
        <w:t>through one</w:t>
      </w:r>
      <w:r w:rsidR="00D70B94" w:rsidRPr="00D70B94">
        <w:rPr>
          <w:color w:val="auto"/>
        </w:rPr>
        <w:t xml:space="preserve"> or more</w:t>
      </w:r>
      <w:r w:rsidR="00E95D61" w:rsidRPr="00D70B94">
        <w:rPr>
          <w:color w:val="auto"/>
        </w:rPr>
        <w:t xml:space="preserve"> of the following means:</w:t>
      </w:r>
    </w:p>
    <w:p w14:paraId="26B50ED6" w14:textId="77777777" w:rsidR="00E95D61" w:rsidRPr="00D70B94" w:rsidRDefault="00D70B94" w:rsidP="00E95D61">
      <w:pPr>
        <w:pStyle w:val="ListParagraph"/>
        <w:numPr>
          <w:ilvl w:val="1"/>
          <w:numId w:val="4"/>
        </w:numPr>
        <w:rPr>
          <w:color w:val="auto"/>
        </w:rPr>
      </w:pPr>
      <w:r w:rsidRPr="00D70B94">
        <w:rPr>
          <w:color w:val="auto"/>
        </w:rPr>
        <w:t>Code-change proposals</w:t>
      </w:r>
    </w:p>
    <w:p w14:paraId="0B06E82F" w14:textId="7A927F70" w:rsidR="00D70B94" w:rsidRPr="00D70B94" w:rsidRDefault="00D70B94" w:rsidP="00E95D61">
      <w:pPr>
        <w:pStyle w:val="ListParagraph"/>
        <w:numPr>
          <w:ilvl w:val="1"/>
          <w:numId w:val="4"/>
        </w:numPr>
        <w:rPr>
          <w:color w:val="auto"/>
        </w:rPr>
      </w:pPr>
      <w:r w:rsidRPr="00D70B94">
        <w:rPr>
          <w:color w:val="auto"/>
        </w:rPr>
        <w:t xml:space="preserve">Refer the topic and supporting materials to technical committees or organizations to develop </w:t>
      </w:r>
      <w:r w:rsidR="00A3547B">
        <w:rPr>
          <w:color w:val="auto"/>
        </w:rPr>
        <w:t xml:space="preserve">or revise </w:t>
      </w:r>
      <w:r w:rsidRPr="00D70B94">
        <w:rPr>
          <w:color w:val="auto"/>
        </w:rPr>
        <w:t>a standard, guide, or technical brief</w:t>
      </w:r>
    </w:p>
    <w:p w14:paraId="23060EA5" w14:textId="77777777" w:rsidR="00D70B94" w:rsidRDefault="00D70B94" w:rsidP="00E95D61">
      <w:pPr>
        <w:pStyle w:val="ListParagraph"/>
        <w:numPr>
          <w:ilvl w:val="1"/>
          <w:numId w:val="4"/>
        </w:numPr>
        <w:rPr>
          <w:color w:val="auto"/>
        </w:rPr>
      </w:pPr>
      <w:r w:rsidRPr="00D70B94">
        <w:rPr>
          <w:color w:val="auto"/>
        </w:rPr>
        <w:t>Refer the topic to the NCO ECO team to promote a webinar for the NHERI community</w:t>
      </w:r>
    </w:p>
    <w:p w14:paraId="6670E255" w14:textId="77777777" w:rsidR="00480314" w:rsidRPr="00480314" w:rsidRDefault="00D70B94" w:rsidP="00480314">
      <w:pPr>
        <w:pStyle w:val="ListParagraph"/>
        <w:numPr>
          <w:ilvl w:val="1"/>
          <w:numId w:val="4"/>
        </w:numPr>
        <w:rPr>
          <w:color w:val="auto"/>
        </w:rPr>
      </w:pPr>
      <w:r>
        <w:rPr>
          <w:color w:val="auto"/>
        </w:rPr>
        <w:lastRenderedPageBreak/>
        <w:t>Brief government agencies on the needs for policy modifications</w:t>
      </w:r>
    </w:p>
    <w:p w14:paraId="2A5E835D" w14:textId="77777777" w:rsidR="00480314" w:rsidRDefault="00480314" w:rsidP="00480314">
      <w:pPr>
        <w:ind w:left="1080"/>
        <w:rPr>
          <w:rFonts w:eastAsia="Times New Roman"/>
          <w:b/>
          <w:color w:val="000000"/>
          <w:u w:val="single"/>
        </w:rPr>
      </w:pPr>
    </w:p>
    <w:p w14:paraId="4324D9C6" w14:textId="13A7CC72" w:rsidR="009352FB" w:rsidRPr="00480314" w:rsidRDefault="009352FB" w:rsidP="00480314">
      <w:pPr>
        <w:ind w:left="1080"/>
      </w:pPr>
      <w:r w:rsidRPr="00480314">
        <w:rPr>
          <w:rFonts w:eastAsia="Times New Roman"/>
          <w:b/>
          <w:color w:val="000000"/>
          <w:u w:val="single"/>
        </w:rPr>
        <w:t>Proposed first-invitees to Technology Transfer Committee of NHERI</w:t>
      </w:r>
    </w:p>
    <w:tbl>
      <w:tblPr>
        <w:tblStyle w:val="TableGrid"/>
        <w:tblW w:w="7422" w:type="dxa"/>
        <w:tblInd w:w="1075" w:type="dxa"/>
        <w:tblLook w:val="04A0" w:firstRow="1" w:lastRow="0" w:firstColumn="1" w:lastColumn="0" w:noHBand="0" w:noVBand="1"/>
      </w:tblPr>
      <w:tblGrid>
        <w:gridCol w:w="376"/>
        <w:gridCol w:w="1349"/>
        <w:gridCol w:w="510"/>
        <w:gridCol w:w="419"/>
        <w:gridCol w:w="417"/>
        <w:gridCol w:w="406"/>
        <w:gridCol w:w="406"/>
        <w:gridCol w:w="406"/>
        <w:gridCol w:w="430"/>
        <w:gridCol w:w="431"/>
        <w:gridCol w:w="431"/>
        <w:gridCol w:w="577"/>
        <w:gridCol w:w="430"/>
        <w:gridCol w:w="428"/>
        <w:gridCol w:w="406"/>
      </w:tblGrid>
      <w:tr w:rsidR="00C60210" w14:paraId="1F66765A" w14:textId="77777777" w:rsidTr="00C60210">
        <w:trPr>
          <w:cantSplit/>
          <w:trHeight w:val="1134"/>
        </w:trPr>
        <w:tc>
          <w:tcPr>
            <w:tcW w:w="270" w:type="dxa"/>
          </w:tcPr>
          <w:p w14:paraId="77A5D4BB" w14:textId="77777777" w:rsidR="00C60210" w:rsidRPr="003A4EE8" w:rsidRDefault="00C60210" w:rsidP="003A4EE8">
            <w:pPr>
              <w:pStyle w:val="ListParagraph"/>
              <w:ind w:left="0"/>
              <w:rPr>
                <w:rFonts w:eastAsia="Times New Roman"/>
                <w:b/>
                <w:i/>
                <w:color w:val="auto"/>
                <w:sz w:val="16"/>
                <w:szCs w:val="16"/>
              </w:rPr>
            </w:pPr>
          </w:p>
        </w:tc>
        <w:tc>
          <w:tcPr>
            <w:tcW w:w="1399" w:type="dxa"/>
            <w:vAlign w:val="bottom"/>
          </w:tcPr>
          <w:p w14:paraId="77C34A48" w14:textId="42FCCF34" w:rsidR="00C60210" w:rsidRPr="003A4EE8" w:rsidRDefault="00C60210" w:rsidP="003A4EE8">
            <w:pPr>
              <w:pStyle w:val="ListParagraph"/>
              <w:ind w:left="0"/>
              <w:rPr>
                <w:rFonts w:eastAsia="Times New Roman"/>
                <w:b/>
                <w:i/>
                <w:color w:val="auto"/>
                <w:sz w:val="16"/>
                <w:szCs w:val="16"/>
              </w:rPr>
            </w:pPr>
            <w:r w:rsidRPr="003A4EE8">
              <w:rPr>
                <w:rFonts w:eastAsia="Times New Roman"/>
                <w:b/>
                <w:i/>
                <w:color w:val="auto"/>
                <w:sz w:val="16"/>
                <w:szCs w:val="16"/>
              </w:rPr>
              <w:t>Name</w:t>
            </w:r>
          </w:p>
        </w:tc>
        <w:tc>
          <w:tcPr>
            <w:tcW w:w="524" w:type="dxa"/>
            <w:textDirection w:val="btLr"/>
          </w:tcPr>
          <w:p w14:paraId="67D83D81" w14:textId="430ED5F0" w:rsidR="00C60210" w:rsidRPr="003A4EE8" w:rsidRDefault="00C60210" w:rsidP="00B80F8D">
            <w:pPr>
              <w:pStyle w:val="ListParagraph"/>
              <w:ind w:left="113" w:right="113"/>
              <w:rPr>
                <w:rFonts w:eastAsia="Times New Roman"/>
                <w:b/>
                <w:i/>
                <w:color w:val="auto"/>
                <w:sz w:val="16"/>
                <w:szCs w:val="16"/>
              </w:rPr>
            </w:pPr>
            <w:r>
              <w:rPr>
                <w:rFonts w:eastAsia="Times New Roman"/>
                <w:b/>
                <w:i/>
                <w:color w:val="auto"/>
                <w:sz w:val="16"/>
                <w:szCs w:val="16"/>
              </w:rPr>
              <w:t>Standard Development</w:t>
            </w:r>
          </w:p>
        </w:tc>
        <w:tc>
          <w:tcPr>
            <w:tcW w:w="421" w:type="dxa"/>
            <w:textDirection w:val="btLr"/>
          </w:tcPr>
          <w:p w14:paraId="1A05A5B1" w14:textId="42DE5E66"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EQ</w:t>
            </w:r>
          </w:p>
        </w:tc>
        <w:tc>
          <w:tcPr>
            <w:tcW w:w="418" w:type="dxa"/>
            <w:textDirection w:val="btLr"/>
          </w:tcPr>
          <w:p w14:paraId="65B242C0"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Wind</w:t>
            </w:r>
          </w:p>
        </w:tc>
        <w:tc>
          <w:tcPr>
            <w:tcW w:w="406" w:type="dxa"/>
            <w:textDirection w:val="btLr"/>
          </w:tcPr>
          <w:p w14:paraId="02B7BC96"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Coastal</w:t>
            </w:r>
          </w:p>
        </w:tc>
        <w:tc>
          <w:tcPr>
            <w:tcW w:w="406" w:type="dxa"/>
            <w:textDirection w:val="btLr"/>
          </w:tcPr>
          <w:p w14:paraId="397CCA60"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Concrete</w:t>
            </w:r>
          </w:p>
        </w:tc>
        <w:tc>
          <w:tcPr>
            <w:tcW w:w="406" w:type="dxa"/>
            <w:textDirection w:val="btLr"/>
          </w:tcPr>
          <w:p w14:paraId="036C9940"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Masonry</w:t>
            </w:r>
          </w:p>
        </w:tc>
        <w:tc>
          <w:tcPr>
            <w:tcW w:w="433" w:type="dxa"/>
            <w:textDirection w:val="btLr"/>
          </w:tcPr>
          <w:p w14:paraId="783FCD97"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Wood</w:t>
            </w:r>
          </w:p>
        </w:tc>
        <w:tc>
          <w:tcPr>
            <w:tcW w:w="434" w:type="dxa"/>
            <w:textDirection w:val="btLr"/>
          </w:tcPr>
          <w:p w14:paraId="42BF138A"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Geotechnical</w:t>
            </w:r>
          </w:p>
        </w:tc>
        <w:tc>
          <w:tcPr>
            <w:tcW w:w="434" w:type="dxa"/>
            <w:textDirection w:val="btLr"/>
          </w:tcPr>
          <w:p w14:paraId="375D6E60"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Steel</w:t>
            </w:r>
          </w:p>
        </w:tc>
        <w:tc>
          <w:tcPr>
            <w:tcW w:w="601" w:type="dxa"/>
            <w:textDirection w:val="btLr"/>
          </w:tcPr>
          <w:p w14:paraId="1660192B"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Architecture (building envelope)</w:t>
            </w:r>
          </w:p>
        </w:tc>
        <w:tc>
          <w:tcPr>
            <w:tcW w:w="433" w:type="dxa"/>
            <w:textDirection w:val="btLr"/>
          </w:tcPr>
          <w:p w14:paraId="7FB23440"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Lifeline</w:t>
            </w:r>
          </w:p>
        </w:tc>
        <w:tc>
          <w:tcPr>
            <w:tcW w:w="431" w:type="dxa"/>
            <w:textDirection w:val="btLr"/>
          </w:tcPr>
          <w:p w14:paraId="728B6CD7"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SS policy</w:t>
            </w:r>
          </w:p>
        </w:tc>
        <w:tc>
          <w:tcPr>
            <w:tcW w:w="406" w:type="dxa"/>
            <w:textDirection w:val="btLr"/>
          </w:tcPr>
          <w:p w14:paraId="69DB5C07" w14:textId="77777777" w:rsidR="00C60210" w:rsidRPr="003A4EE8" w:rsidRDefault="00C60210" w:rsidP="00B80F8D">
            <w:pPr>
              <w:pStyle w:val="ListParagraph"/>
              <w:ind w:left="113" w:right="113"/>
              <w:rPr>
                <w:rFonts w:eastAsia="Times New Roman"/>
                <w:b/>
                <w:i/>
                <w:color w:val="auto"/>
                <w:sz w:val="16"/>
                <w:szCs w:val="16"/>
              </w:rPr>
            </w:pPr>
            <w:r w:rsidRPr="003A4EE8">
              <w:rPr>
                <w:rFonts w:eastAsia="Times New Roman"/>
                <w:b/>
                <w:i/>
                <w:color w:val="auto"/>
                <w:sz w:val="16"/>
                <w:szCs w:val="16"/>
              </w:rPr>
              <w:t>International</w:t>
            </w:r>
          </w:p>
        </w:tc>
      </w:tr>
      <w:tr w:rsidR="00C60210" w14:paraId="6DAF49F8" w14:textId="77777777" w:rsidTr="00C60210">
        <w:tc>
          <w:tcPr>
            <w:tcW w:w="270" w:type="dxa"/>
          </w:tcPr>
          <w:p w14:paraId="17D47239" w14:textId="0FB13869"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1</w:t>
            </w:r>
          </w:p>
        </w:tc>
        <w:tc>
          <w:tcPr>
            <w:tcW w:w="1399" w:type="dxa"/>
          </w:tcPr>
          <w:p w14:paraId="38D70D33" w14:textId="2FDEF7C8"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Phillip Lane</w:t>
            </w:r>
          </w:p>
        </w:tc>
        <w:tc>
          <w:tcPr>
            <w:tcW w:w="524" w:type="dxa"/>
            <w:shd w:val="clear" w:color="auto" w:fill="auto"/>
          </w:tcPr>
          <w:p w14:paraId="6E82FA4B" w14:textId="77777777" w:rsidR="00C60210" w:rsidRPr="00B80F8D" w:rsidRDefault="00C60210" w:rsidP="00B023B0">
            <w:pPr>
              <w:pStyle w:val="ListParagraph"/>
              <w:ind w:left="0"/>
              <w:jc w:val="center"/>
              <w:rPr>
                <w:rFonts w:eastAsia="Times New Roman"/>
                <w:color w:val="auto"/>
                <w:sz w:val="16"/>
                <w:szCs w:val="16"/>
              </w:rPr>
            </w:pPr>
          </w:p>
        </w:tc>
        <w:tc>
          <w:tcPr>
            <w:tcW w:w="421" w:type="dxa"/>
            <w:shd w:val="clear" w:color="auto" w:fill="auto"/>
          </w:tcPr>
          <w:p w14:paraId="2D222157" w14:textId="6DBC5E85" w:rsidR="00C60210" w:rsidRPr="00B80F8D" w:rsidRDefault="00C60210" w:rsidP="00B023B0">
            <w:pPr>
              <w:pStyle w:val="ListParagraph"/>
              <w:ind w:left="0"/>
              <w:jc w:val="center"/>
              <w:rPr>
                <w:rFonts w:eastAsia="Times New Roman"/>
                <w:color w:val="auto"/>
                <w:sz w:val="16"/>
                <w:szCs w:val="16"/>
              </w:rPr>
            </w:pPr>
          </w:p>
        </w:tc>
        <w:tc>
          <w:tcPr>
            <w:tcW w:w="418" w:type="dxa"/>
            <w:shd w:val="clear" w:color="auto" w:fill="auto"/>
          </w:tcPr>
          <w:p w14:paraId="1165C8D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8D6CFD4"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B92FDF5"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21256889"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33282304"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4" w:type="dxa"/>
            <w:shd w:val="clear" w:color="auto" w:fill="auto"/>
          </w:tcPr>
          <w:p w14:paraId="25D422BA"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5644FDFB" w14:textId="77777777" w:rsidR="00C60210" w:rsidRPr="00B80F8D" w:rsidRDefault="00C60210" w:rsidP="00B023B0">
            <w:pPr>
              <w:pStyle w:val="ListParagraph"/>
              <w:ind w:left="0"/>
              <w:jc w:val="center"/>
              <w:rPr>
                <w:rFonts w:eastAsia="Times New Roman"/>
                <w:color w:val="auto"/>
                <w:sz w:val="16"/>
                <w:szCs w:val="16"/>
              </w:rPr>
            </w:pPr>
          </w:p>
        </w:tc>
        <w:tc>
          <w:tcPr>
            <w:tcW w:w="601" w:type="dxa"/>
          </w:tcPr>
          <w:p w14:paraId="2FD059CE"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67120295"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38FA0AA9"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6B77CAE3" w14:textId="77777777" w:rsidR="00C60210" w:rsidRPr="00B80F8D" w:rsidRDefault="00C60210" w:rsidP="00B023B0">
            <w:pPr>
              <w:pStyle w:val="ListParagraph"/>
              <w:ind w:left="0"/>
              <w:jc w:val="center"/>
              <w:rPr>
                <w:rFonts w:eastAsia="Times New Roman"/>
                <w:color w:val="auto"/>
                <w:sz w:val="16"/>
                <w:szCs w:val="16"/>
              </w:rPr>
            </w:pPr>
          </w:p>
        </w:tc>
      </w:tr>
      <w:tr w:rsidR="00C60210" w14:paraId="131AB13C" w14:textId="77777777" w:rsidTr="00C60210">
        <w:tc>
          <w:tcPr>
            <w:tcW w:w="270" w:type="dxa"/>
            <w:shd w:val="clear" w:color="auto" w:fill="FFFFFF" w:themeFill="background1"/>
          </w:tcPr>
          <w:p w14:paraId="38D0D863" w14:textId="1CCDDF3A"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2</w:t>
            </w:r>
          </w:p>
        </w:tc>
        <w:tc>
          <w:tcPr>
            <w:tcW w:w="1399" w:type="dxa"/>
            <w:shd w:val="clear" w:color="auto" w:fill="FFFFFF" w:themeFill="background1"/>
          </w:tcPr>
          <w:p w14:paraId="78B59152" w14:textId="4C2EC1E2"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Greg Kingsley</w:t>
            </w:r>
          </w:p>
        </w:tc>
        <w:tc>
          <w:tcPr>
            <w:tcW w:w="524" w:type="dxa"/>
            <w:shd w:val="clear" w:color="auto" w:fill="auto"/>
          </w:tcPr>
          <w:p w14:paraId="04DEF484" w14:textId="77777777" w:rsidR="00C60210" w:rsidRPr="00B80F8D" w:rsidRDefault="00C60210" w:rsidP="00B023B0">
            <w:pPr>
              <w:pStyle w:val="ListParagraph"/>
              <w:ind w:left="0"/>
              <w:jc w:val="center"/>
              <w:rPr>
                <w:rFonts w:eastAsia="Times New Roman"/>
                <w:color w:val="auto"/>
                <w:sz w:val="16"/>
                <w:szCs w:val="16"/>
              </w:rPr>
            </w:pPr>
          </w:p>
        </w:tc>
        <w:tc>
          <w:tcPr>
            <w:tcW w:w="421" w:type="dxa"/>
            <w:shd w:val="clear" w:color="auto" w:fill="auto"/>
          </w:tcPr>
          <w:p w14:paraId="6894FC16" w14:textId="31C8F154" w:rsidR="00C60210" w:rsidRPr="00B80F8D" w:rsidRDefault="00C60210" w:rsidP="00B023B0">
            <w:pPr>
              <w:pStyle w:val="ListParagraph"/>
              <w:ind w:left="0"/>
              <w:jc w:val="center"/>
              <w:rPr>
                <w:rFonts w:eastAsia="Times New Roman"/>
                <w:color w:val="auto"/>
                <w:sz w:val="16"/>
                <w:szCs w:val="16"/>
              </w:rPr>
            </w:pPr>
          </w:p>
        </w:tc>
        <w:tc>
          <w:tcPr>
            <w:tcW w:w="418" w:type="dxa"/>
            <w:shd w:val="clear" w:color="auto" w:fill="auto"/>
          </w:tcPr>
          <w:p w14:paraId="3697B73A"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755D00BD"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6617AB6F"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3518A308"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3" w:type="dxa"/>
            <w:shd w:val="clear" w:color="auto" w:fill="auto"/>
          </w:tcPr>
          <w:p w14:paraId="0D333E5B"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01EBD160"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4ECBF8B6" w14:textId="77777777" w:rsidR="00C60210" w:rsidRPr="00B80F8D" w:rsidRDefault="00C60210" w:rsidP="00B023B0">
            <w:pPr>
              <w:pStyle w:val="ListParagraph"/>
              <w:ind w:left="0"/>
              <w:jc w:val="center"/>
              <w:rPr>
                <w:rFonts w:eastAsia="Times New Roman"/>
                <w:color w:val="auto"/>
                <w:sz w:val="16"/>
                <w:szCs w:val="16"/>
              </w:rPr>
            </w:pPr>
          </w:p>
        </w:tc>
        <w:tc>
          <w:tcPr>
            <w:tcW w:w="601" w:type="dxa"/>
            <w:shd w:val="clear" w:color="auto" w:fill="FFFFFF" w:themeFill="background1"/>
          </w:tcPr>
          <w:p w14:paraId="021137BD"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FFFFFF" w:themeFill="background1"/>
          </w:tcPr>
          <w:p w14:paraId="6993FB11" w14:textId="77777777" w:rsidR="00C60210" w:rsidRPr="00B80F8D" w:rsidRDefault="00C60210" w:rsidP="00B023B0">
            <w:pPr>
              <w:pStyle w:val="ListParagraph"/>
              <w:ind w:left="0"/>
              <w:jc w:val="center"/>
              <w:rPr>
                <w:rFonts w:eastAsia="Times New Roman"/>
                <w:color w:val="auto"/>
                <w:sz w:val="16"/>
                <w:szCs w:val="16"/>
              </w:rPr>
            </w:pPr>
          </w:p>
        </w:tc>
        <w:tc>
          <w:tcPr>
            <w:tcW w:w="431" w:type="dxa"/>
            <w:shd w:val="clear" w:color="auto" w:fill="FFFFFF" w:themeFill="background1"/>
          </w:tcPr>
          <w:p w14:paraId="6D1397DD"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FFF" w:themeFill="background1"/>
          </w:tcPr>
          <w:p w14:paraId="23B5DE37" w14:textId="77777777" w:rsidR="00C60210" w:rsidRPr="00B80F8D" w:rsidRDefault="00C60210" w:rsidP="00B023B0">
            <w:pPr>
              <w:pStyle w:val="ListParagraph"/>
              <w:ind w:left="0"/>
              <w:jc w:val="center"/>
              <w:rPr>
                <w:rFonts w:eastAsia="Times New Roman"/>
                <w:color w:val="auto"/>
                <w:sz w:val="16"/>
                <w:szCs w:val="16"/>
              </w:rPr>
            </w:pPr>
          </w:p>
        </w:tc>
      </w:tr>
      <w:tr w:rsidR="00C60210" w14:paraId="30AFD415" w14:textId="77777777" w:rsidTr="00C60210">
        <w:tc>
          <w:tcPr>
            <w:tcW w:w="270" w:type="dxa"/>
          </w:tcPr>
          <w:p w14:paraId="0477B212" w14:textId="20F967B3"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3</w:t>
            </w:r>
          </w:p>
        </w:tc>
        <w:tc>
          <w:tcPr>
            <w:tcW w:w="1399" w:type="dxa"/>
            <w:shd w:val="clear" w:color="auto" w:fill="auto"/>
          </w:tcPr>
          <w:p w14:paraId="020E08B1" w14:textId="3F0A2D46"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Bonnie Manley</w:t>
            </w:r>
          </w:p>
        </w:tc>
        <w:tc>
          <w:tcPr>
            <w:tcW w:w="524" w:type="dxa"/>
            <w:shd w:val="clear" w:color="auto" w:fill="auto"/>
          </w:tcPr>
          <w:p w14:paraId="4365D93A" w14:textId="77777777" w:rsidR="00C60210" w:rsidRPr="00B80F8D" w:rsidRDefault="00C60210" w:rsidP="00B023B0">
            <w:pPr>
              <w:pStyle w:val="ListParagraph"/>
              <w:ind w:left="0"/>
              <w:jc w:val="center"/>
              <w:rPr>
                <w:rFonts w:eastAsia="Times New Roman"/>
                <w:color w:val="auto"/>
                <w:sz w:val="16"/>
                <w:szCs w:val="16"/>
              </w:rPr>
            </w:pPr>
          </w:p>
        </w:tc>
        <w:tc>
          <w:tcPr>
            <w:tcW w:w="421" w:type="dxa"/>
            <w:shd w:val="clear" w:color="auto" w:fill="auto"/>
          </w:tcPr>
          <w:p w14:paraId="6F70231F" w14:textId="78572CFD" w:rsidR="00C60210" w:rsidRPr="00B80F8D" w:rsidRDefault="00C60210" w:rsidP="00B023B0">
            <w:pPr>
              <w:pStyle w:val="ListParagraph"/>
              <w:ind w:left="0"/>
              <w:jc w:val="center"/>
              <w:rPr>
                <w:rFonts w:eastAsia="Times New Roman"/>
                <w:color w:val="auto"/>
                <w:sz w:val="16"/>
                <w:szCs w:val="16"/>
              </w:rPr>
            </w:pPr>
          </w:p>
        </w:tc>
        <w:tc>
          <w:tcPr>
            <w:tcW w:w="418" w:type="dxa"/>
            <w:shd w:val="clear" w:color="auto" w:fill="auto"/>
          </w:tcPr>
          <w:p w14:paraId="3C005EA4"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753B863A"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20DD7E4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6C4250BE"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472078E4"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43CAA403"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5002D11E"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601" w:type="dxa"/>
            <w:shd w:val="clear" w:color="auto" w:fill="auto"/>
          </w:tcPr>
          <w:p w14:paraId="171D576C"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5BAF96CF" w14:textId="77777777" w:rsidR="00C60210" w:rsidRPr="00B80F8D" w:rsidRDefault="00C60210" w:rsidP="00B023B0">
            <w:pPr>
              <w:pStyle w:val="ListParagraph"/>
              <w:ind w:left="0"/>
              <w:jc w:val="center"/>
              <w:rPr>
                <w:rFonts w:eastAsia="Times New Roman"/>
                <w:color w:val="auto"/>
                <w:sz w:val="16"/>
                <w:szCs w:val="16"/>
              </w:rPr>
            </w:pPr>
          </w:p>
        </w:tc>
        <w:tc>
          <w:tcPr>
            <w:tcW w:w="431" w:type="dxa"/>
            <w:shd w:val="clear" w:color="auto" w:fill="auto"/>
          </w:tcPr>
          <w:p w14:paraId="7A397576"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95C3026" w14:textId="77777777" w:rsidR="00C60210" w:rsidRPr="00B80F8D" w:rsidRDefault="00C60210" w:rsidP="00B023B0">
            <w:pPr>
              <w:pStyle w:val="ListParagraph"/>
              <w:ind w:left="0"/>
              <w:jc w:val="center"/>
              <w:rPr>
                <w:rFonts w:eastAsia="Times New Roman"/>
                <w:color w:val="auto"/>
                <w:sz w:val="16"/>
                <w:szCs w:val="16"/>
              </w:rPr>
            </w:pPr>
          </w:p>
        </w:tc>
      </w:tr>
      <w:tr w:rsidR="00C60210" w14:paraId="29EF9700" w14:textId="77777777" w:rsidTr="00C60210">
        <w:tc>
          <w:tcPr>
            <w:tcW w:w="270" w:type="dxa"/>
            <w:shd w:val="clear" w:color="auto" w:fill="FFFFFF" w:themeFill="background1"/>
          </w:tcPr>
          <w:p w14:paraId="6805D16C" w14:textId="1B0BF746"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4</w:t>
            </w:r>
          </w:p>
        </w:tc>
        <w:tc>
          <w:tcPr>
            <w:tcW w:w="1399" w:type="dxa"/>
            <w:shd w:val="clear" w:color="auto" w:fill="FFFFFF" w:themeFill="background1"/>
          </w:tcPr>
          <w:p w14:paraId="6467FEE5" w14:textId="7EF715A2"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 xml:space="preserve">Jack </w:t>
            </w:r>
            <w:proofErr w:type="spellStart"/>
            <w:r w:rsidRPr="00F53EFF">
              <w:rPr>
                <w:rFonts w:eastAsia="Times New Roman"/>
                <w:color w:val="auto"/>
                <w:sz w:val="16"/>
                <w:szCs w:val="16"/>
              </w:rPr>
              <w:t>Moehle</w:t>
            </w:r>
            <w:proofErr w:type="spellEnd"/>
          </w:p>
        </w:tc>
        <w:tc>
          <w:tcPr>
            <w:tcW w:w="524" w:type="dxa"/>
            <w:shd w:val="clear" w:color="auto" w:fill="auto"/>
          </w:tcPr>
          <w:p w14:paraId="25105D52"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04AA8C29" w14:textId="354B4E8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1DCFA2C4"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41A3F093"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476559CE"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auto"/>
          </w:tcPr>
          <w:p w14:paraId="1633158C"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40CE49F1"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44F7713A"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63BF8D45" w14:textId="77777777" w:rsidR="00C60210" w:rsidRPr="00B80F8D" w:rsidRDefault="00C60210" w:rsidP="00B023B0">
            <w:pPr>
              <w:pStyle w:val="ListParagraph"/>
              <w:ind w:left="0"/>
              <w:jc w:val="center"/>
              <w:rPr>
                <w:rFonts w:eastAsia="Times New Roman"/>
                <w:color w:val="auto"/>
                <w:sz w:val="16"/>
                <w:szCs w:val="16"/>
              </w:rPr>
            </w:pPr>
          </w:p>
        </w:tc>
        <w:tc>
          <w:tcPr>
            <w:tcW w:w="601" w:type="dxa"/>
            <w:shd w:val="clear" w:color="auto" w:fill="FFFFFF" w:themeFill="background1"/>
          </w:tcPr>
          <w:p w14:paraId="469B69AE"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FFFFFF" w:themeFill="background1"/>
          </w:tcPr>
          <w:p w14:paraId="53321B57" w14:textId="77777777" w:rsidR="00C60210" w:rsidRPr="00B80F8D" w:rsidRDefault="00C60210" w:rsidP="00B023B0">
            <w:pPr>
              <w:pStyle w:val="ListParagraph"/>
              <w:ind w:left="0"/>
              <w:jc w:val="center"/>
              <w:rPr>
                <w:rFonts w:eastAsia="Times New Roman"/>
                <w:color w:val="auto"/>
                <w:sz w:val="16"/>
                <w:szCs w:val="16"/>
              </w:rPr>
            </w:pPr>
          </w:p>
        </w:tc>
        <w:tc>
          <w:tcPr>
            <w:tcW w:w="431" w:type="dxa"/>
            <w:shd w:val="clear" w:color="auto" w:fill="FFFFFF" w:themeFill="background1"/>
          </w:tcPr>
          <w:p w14:paraId="444FBE5C"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FFF" w:themeFill="background1"/>
          </w:tcPr>
          <w:p w14:paraId="42469C86" w14:textId="77777777" w:rsidR="00C60210" w:rsidRPr="00B80F8D" w:rsidRDefault="00C60210" w:rsidP="00B023B0">
            <w:pPr>
              <w:pStyle w:val="ListParagraph"/>
              <w:ind w:left="0"/>
              <w:jc w:val="center"/>
              <w:rPr>
                <w:rFonts w:eastAsia="Times New Roman"/>
                <w:color w:val="auto"/>
                <w:sz w:val="16"/>
                <w:szCs w:val="16"/>
              </w:rPr>
            </w:pPr>
          </w:p>
        </w:tc>
      </w:tr>
      <w:tr w:rsidR="00C60210" w14:paraId="77F4A3FB" w14:textId="77777777" w:rsidTr="00C60210">
        <w:tc>
          <w:tcPr>
            <w:tcW w:w="270" w:type="dxa"/>
            <w:shd w:val="clear" w:color="auto" w:fill="FFFFFF" w:themeFill="background1"/>
          </w:tcPr>
          <w:p w14:paraId="302E0AC2" w14:textId="351A0994"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5</w:t>
            </w:r>
          </w:p>
        </w:tc>
        <w:tc>
          <w:tcPr>
            <w:tcW w:w="1399" w:type="dxa"/>
            <w:shd w:val="clear" w:color="auto" w:fill="FFFFFF" w:themeFill="background1"/>
          </w:tcPr>
          <w:p w14:paraId="67809811" w14:textId="424019E4"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Gary Chock</w:t>
            </w:r>
          </w:p>
        </w:tc>
        <w:tc>
          <w:tcPr>
            <w:tcW w:w="524" w:type="dxa"/>
            <w:shd w:val="clear" w:color="auto" w:fill="auto"/>
          </w:tcPr>
          <w:p w14:paraId="3F76741C" w14:textId="77777777" w:rsidR="00C60210" w:rsidRPr="00B80F8D" w:rsidRDefault="00C60210" w:rsidP="00B023B0">
            <w:pPr>
              <w:pStyle w:val="ListParagraph"/>
              <w:ind w:left="0"/>
              <w:jc w:val="center"/>
              <w:rPr>
                <w:rFonts w:eastAsia="Times New Roman"/>
                <w:color w:val="auto"/>
                <w:sz w:val="16"/>
                <w:szCs w:val="16"/>
              </w:rPr>
            </w:pPr>
          </w:p>
        </w:tc>
        <w:tc>
          <w:tcPr>
            <w:tcW w:w="421" w:type="dxa"/>
            <w:shd w:val="clear" w:color="auto" w:fill="auto"/>
          </w:tcPr>
          <w:p w14:paraId="4B569F70" w14:textId="7FD8E92E" w:rsidR="00C60210" w:rsidRPr="00B80F8D" w:rsidRDefault="00C60210" w:rsidP="00B023B0">
            <w:pPr>
              <w:pStyle w:val="ListParagraph"/>
              <w:ind w:left="0"/>
              <w:jc w:val="center"/>
              <w:rPr>
                <w:rFonts w:eastAsia="Times New Roman"/>
                <w:color w:val="auto"/>
                <w:sz w:val="16"/>
                <w:szCs w:val="16"/>
              </w:rPr>
            </w:pPr>
          </w:p>
        </w:tc>
        <w:tc>
          <w:tcPr>
            <w:tcW w:w="418" w:type="dxa"/>
            <w:shd w:val="clear" w:color="auto" w:fill="auto"/>
          </w:tcPr>
          <w:p w14:paraId="552F6EAB"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auto"/>
          </w:tcPr>
          <w:p w14:paraId="17B56DF1"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auto"/>
          </w:tcPr>
          <w:p w14:paraId="1C0EE7FA"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2E625EF"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5249F992"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7AF83546"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1F20AA1B" w14:textId="77777777" w:rsidR="00C60210" w:rsidRPr="00B80F8D" w:rsidRDefault="00C60210" w:rsidP="00B023B0">
            <w:pPr>
              <w:pStyle w:val="ListParagraph"/>
              <w:ind w:left="0"/>
              <w:jc w:val="center"/>
              <w:rPr>
                <w:rFonts w:eastAsia="Times New Roman"/>
                <w:color w:val="auto"/>
                <w:sz w:val="16"/>
                <w:szCs w:val="16"/>
              </w:rPr>
            </w:pPr>
          </w:p>
        </w:tc>
        <w:tc>
          <w:tcPr>
            <w:tcW w:w="601" w:type="dxa"/>
            <w:shd w:val="clear" w:color="auto" w:fill="FFFFFF" w:themeFill="background1"/>
          </w:tcPr>
          <w:p w14:paraId="432A8209"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FFFFFF" w:themeFill="background1"/>
          </w:tcPr>
          <w:p w14:paraId="50CB5DE6" w14:textId="77777777" w:rsidR="00C60210" w:rsidRPr="00B80F8D" w:rsidRDefault="00C60210" w:rsidP="00B023B0">
            <w:pPr>
              <w:pStyle w:val="ListParagraph"/>
              <w:ind w:left="0"/>
              <w:jc w:val="center"/>
              <w:rPr>
                <w:rFonts w:eastAsia="Times New Roman"/>
                <w:color w:val="auto"/>
                <w:sz w:val="16"/>
                <w:szCs w:val="16"/>
              </w:rPr>
            </w:pPr>
          </w:p>
        </w:tc>
        <w:tc>
          <w:tcPr>
            <w:tcW w:w="431" w:type="dxa"/>
            <w:shd w:val="clear" w:color="auto" w:fill="FFFFFF" w:themeFill="background1"/>
          </w:tcPr>
          <w:p w14:paraId="24DE1719"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FFF" w:themeFill="background1"/>
          </w:tcPr>
          <w:p w14:paraId="7728EC0D" w14:textId="77777777" w:rsidR="00C60210" w:rsidRPr="00B80F8D" w:rsidRDefault="00C60210" w:rsidP="00B023B0">
            <w:pPr>
              <w:pStyle w:val="ListParagraph"/>
              <w:ind w:left="0"/>
              <w:jc w:val="center"/>
              <w:rPr>
                <w:rFonts w:eastAsia="Times New Roman"/>
                <w:color w:val="auto"/>
                <w:sz w:val="16"/>
                <w:szCs w:val="16"/>
              </w:rPr>
            </w:pPr>
          </w:p>
        </w:tc>
      </w:tr>
      <w:tr w:rsidR="00C60210" w14:paraId="3C7F2924" w14:textId="77777777" w:rsidTr="00C60210">
        <w:tc>
          <w:tcPr>
            <w:tcW w:w="270" w:type="dxa"/>
          </w:tcPr>
          <w:p w14:paraId="77D2A2E4" w14:textId="42EE41BD"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6</w:t>
            </w:r>
          </w:p>
        </w:tc>
        <w:tc>
          <w:tcPr>
            <w:tcW w:w="1399" w:type="dxa"/>
          </w:tcPr>
          <w:p w14:paraId="7F43DEB9" w14:textId="715F8087"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 xml:space="preserve">Bill </w:t>
            </w:r>
            <w:proofErr w:type="spellStart"/>
            <w:r w:rsidRPr="00F53EFF">
              <w:rPr>
                <w:rFonts w:eastAsia="Times New Roman"/>
                <w:color w:val="auto"/>
                <w:sz w:val="16"/>
                <w:szCs w:val="16"/>
              </w:rPr>
              <w:t>Coulbourne</w:t>
            </w:r>
            <w:proofErr w:type="spellEnd"/>
          </w:p>
        </w:tc>
        <w:tc>
          <w:tcPr>
            <w:tcW w:w="524" w:type="dxa"/>
            <w:shd w:val="clear" w:color="auto" w:fill="auto"/>
          </w:tcPr>
          <w:p w14:paraId="4B44396B" w14:textId="77777777" w:rsidR="00C60210" w:rsidRPr="00B80F8D" w:rsidRDefault="00C60210" w:rsidP="00B023B0">
            <w:pPr>
              <w:pStyle w:val="ListParagraph"/>
              <w:ind w:left="0"/>
              <w:jc w:val="center"/>
              <w:rPr>
                <w:rFonts w:eastAsia="Times New Roman"/>
                <w:color w:val="auto"/>
                <w:sz w:val="16"/>
                <w:szCs w:val="16"/>
              </w:rPr>
            </w:pPr>
          </w:p>
        </w:tc>
        <w:tc>
          <w:tcPr>
            <w:tcW w:w="421" w:type="dxa"/>
            <w:shd w:val="clear" w:color="auto" w:fill="auto"/>
          </w:tcPr>
          <w:p w14:paraId="69C459DD" w14:textId="3E512D50" w:rsidR="00C60210" w:rsidRPr="00B80F8D" w:rsidRDefault="00C60210" w:rsidP="00B023B0">
            <w:pPr>
              <w:pStyle w:val="ListParagraph"/>
              <w:ind w:left="0"/>
              <w:jc w:val="center"/>
              <w:rPr>
                <w:rFonts w:eastAsia="Times New Roman"/>
                <w:color w:val="auto"/>
                <w:sz w:val="16"/>
                <w:szCs w:val="16"/>
              </w:rPr>
            </w:pPr>
          </w:p>
        </w:tc>
        <w:tc>
          <w:tcPr>
            <w:tcW w:w="418" w:type="dxa"/>
            <w:shd w:val="clear" w:color="auto" w:fill="auto"/>
          </w:tcPr>
          <w:p w14:paraId="2CB85A77"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auto"/>
          </w:tcPr>
          <w:p w14:paraId="37733F47" w14:textId="07FD66B2"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auto"/>
          </w:tcPr>
          <w:p w14:paraId="0E778152"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19A8E582"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7F7960F9"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6E8A2BDD"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45C19D6B" w14:textId="77777777" w:rsidR="00C60210" w:rsidRPr="00B80F8D" w:rsidRDefault="00C60210" w:rsidP="00B023B0">
            <w:pPr>
              <w:pStyle w:val="ListParagraph"/>
              <w:ind w:left="0"/>
              <w:jc w:val="center"/>
              <w:rPr>
                <w:rFonts w:eastAsia="Times New Roman"/>
                <w:color w:val="auto"/>
                <w:sz w:val="16"/>
                <w:szCs w:val="16"/>
              </w:rPr>
            </w:pPr>
          </w:p>
        </w:tc>
        <w:tc>
          <w:tcPr>
            <w:tcW w:w="601" w:type="dxa"/>
          </w:tcPr>
          <w:p w14:paraId="2FC0ED82"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176473B0"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03B6EA27"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1B418B06" w14:textId="77777777" w:rsidR="00C60210" w:rsidRPr="00B80F8D" w:rsidRDefault="00C60210" w:rsidP="00B023B0">
            <w:pPr>
              <w:pStyle w:val="ListParagraph"/>
              <w:ind w:left="0"/>
              <w:jc w:val="center"/>
              <w:rPr>
                <w:rFonts w:eastAsia="Times New Roman"/>
                <w:color w:val="auto"/>
                <w:sz w:val="16"/>
                <w:szCs w:val="16"/>
              </w:rPr>
            </w:pPr>
          </w:p>
        </w:tc>
      </w:tr>
      <w:tr w:rsidR="00C60210" w14:paraId="2423EC7F" w14:textId="77777777" w:rsidTr="00C60210">
        <w:tc>
          <w:tcPr>
            <w:tcW w:w="270" w:type="dxa"/>
          </w:tcPr>
          <w:p w14:paraId="6E2965B0" w14:textId="495CDABC"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7</w:t>
            </w:r>
          </w:p>
        </w:tc>
        <w:tc>
          <w:tcPr>
            <w:tcW w:w="1399" w:type="dxa"/>
          </w:tcPr>
          <w:p w14:paraId="755A1A40" w14:textId="66BFFBBD"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Chris Jones</w:t>
            </w:r>
          </w:p>
        </w:tc>
        <w:tc>
          <w:tcPr>
            <w:tcW w:w="524" w:type="dxa"/>
            <w:shd w:val="clear" w:color="auto" w:fill="auto"/>
          </w:tcPr>
          <w:p w14:paraId="3B033C5C" w14:textId="77777777" w:rsidR="00C60210" w:rsidRPr="00B80F8D" w:rsidRDefault="00C60210" w:rsidP="00B023B0">
            <w:pPr>
              <w:pStyle w:val="ListParagraph"/>
              <w:ind w:left="0"/>
              <w:jc w:val="center"/>
              <w:rPr>
                <w:rFonts w:eastAsia="Times New Roman"/>
                <w:color w:val="auto"/>
                <w:sz w:val="16"/>
                <w:szCs w:val="16"/>
              </w:rPr>
            </w:pPr>
          </w:p>
        </w:tc>
        <w:tc>
          <w:tcPr>
            <w:tcW w:w="421" w:type="dxa"/>
            <w:shd w:val="clear" w:color="auto" w:fill="auto"/>
          </w:tcPr>
          <w:p w14:paraId="1CADF0BA" w14:textId="135B922B" w:rsidR="00C60210" w:rsidRPr="00B80F8D" w:rsidRDefault="00C60210" w:rsidP="00B023B0">
            <w:pPr>
              <w:pStyle w:val="ListParagraph"/>
              <w:ind w:left="0"/>
              <w:jc w:val="center"/>
              <w:rPr>
                <w:rFonts w:eastAsia="Times New Roman"/>
                <w:color w:val="auto"/>
                <w:sz w:val="16"/>
                <w:szCs w:val="16"/>
              </w:rPr>
            </w:pPr>
          </w:p>
        </w:tc>
        <w:tc>
          <w:tcPr>
            <w:tcW w:w="418" w:type="dxa"/>
            <w:shd w:val="clear" w:color="auto" w:fill="auto"/>
          </w:tcPr>
          <w:p w14:paraId="57F8E390"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23EFCE8" w14:textId="1F597928"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auto"/>
          </w:tcPr>
          <w:p w14:paraId="50AE62D6"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4D1294A4"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5CDD3CCE"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2E7293E3"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7CA03843" w14:textId="77777777" w:rsidR="00C60210" w:rsidRPr="00B80F8D" w:rsidRDefault="00C60210" w:rsidP="00B023B0">
            <w:pPr>
              <w:pStyle w:val="ListParagraph"/>
              <w:ind w:left="0"/>
              <w:jc w:val="center"/>
              <w:rPr>
                <w:rFonts w:eastAsia="Times New Roman"/>
                <w:color w:val="auto"/>
                <w:sz w:val="16"/>
                <w:szCs w:val="16"/>
              </w:rPr>
            </w:pPr>
          </w:p>
        </w:tc>
        <w:tc>
          <w:tcPr>
            <w:tcW w:w="601" w:type="dxa"/>
          </w:tcPr>
          <w:p w14:paraId="299B6983"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4A2B9424"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04DF02D9"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7A7CE32B" w14:textId="77777777" w:rsidR="00C60210" w:rsidRPr="00B80F8D" w:rsidRDefault="00C60210" w:rsidP="00B023B0">
            <w:pPr>
              <w:pStyle w:val="ListParagraph"/>
              <w:ind w:left="0"/>
              <w:jc w:val="center"/>
              <w:rPr>
                <w:rFonts w:eastAsia="Times New Roman"/>
                <w:color w:val="auto"/>
                <w:sz w:val="16"/>
                <w:szCs w:val="16"/>
              </w:rPr>
            </w:pPr>
          </w:p>
        </w:tc>
      </w:tr>
      <w:tr w:rsidR="00C60210" w14:paraId="4D0D997A" w14:textId="77777777" w:rsidTr="00C60210">
        <w:tc>
          <w:tcPr>
            <w:tcW w:w="270" w:type="dxa"/>
          </w:tcPr>
          <w:p w14:paraId="36C325A8" w14:textId="0A40276E"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8</w:t>
            </w:r>
          </w:p>
        </w:tc>
        <w:tc>
          <w:tcPr>
            <w:tcW w:w="1399" w:type="dxa"/>
          </w:tcPr>
          <w:p w14:paraId="113491FE" w14:textId="452EFD95"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Anne Cope</w:t>
            </w:r>
          </w:p>
        </w:tc>
        <w:tc>
          <w:tcPr>
            <w:tcW w:w="524" w:type="dxa"/>
          </w:tcPr>
          <w:p w14:paraId="64703326" w14:textId="77777777" w:rsidR="00C60210" w:rsidRPr="00B80F8D" w:rsidRDefault="00C60210" w:rsidP="00B023B0">
            <w:pPr>
              <w:pStyle w:val="ListParagraph"/>
              <w:ind w:left="0"/>
              <w:jc w:val="center"/>
              <w:rPr>
                <w:rFonts w:eastAsia="Times New Roman"/>
                <w:color w:val="auto"/>
                <w:sz w:val="16"/>
                <w:szCs w:val="16"/>
              </w:rPr>
            </w:pPr>
          </w:p>
        </w:tc>
        <w:tc>
          <w:tcPr>
            <w:tcW w:w="421" w:type="dxa"/>
          </w:tcPr>
          <w:p w14:paraId="28D16630" w14:textId="062F6CDE" w:rsidR="00C60210" w:rsidRPr="00B80F8D" w:rsidRDefault="00C60210" w:rsidP="00B023B0">
            <w:pPr>
              <w:pStyle w:val="ListParagraph"/>
              <w:ind w:left="0"/>
              <w:jc w:val="center"/>
              <w:rPr>
                <w:rFonts w:eastAsia="Times New Roman"/>
                <w:color w:val="auto"/>
                <w:sz w:val="16"/>
                <w:szCs w:val="16"/>
              </w:rPr>
            </w:pPr>
          </w:p>
        </w:tc>
        <w:tc>
          <w:tcPr>
            <w:tcW w:w="418" w:type="dxa"/>
          </w:tcPr>
          <w:p w14:paraId="0449F9A9"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tcPr>
          <w:p w14:paraId="24FB810B"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0917FC6C"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783B7CF2"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1D353538" w14:textId="77777777" w:rsidR="00C60210" w:rsidRPr="00B80F8D" w:rsidRDefault="00C60210" w:rsidP="00B023B0">
            <w:pPr>
              <w:pStyle w:val="ListParagraph"/>
              <w:ind w:left="0"/>
              <w:jc w:val="center"/>
              <w:rPr>
                <w:rFonts w:eastAsia="Times New Roman"/>
                <w:color w:val="auto"/>
                <w:sz w:val="16"/>
                <w:szCs w:val="16"/>
              </w:rPr>
            </w:pPr>
          </w:p>
        </w:tc>
        <w:tc>
          <w:tcPr>
            <w:tcW w:w="434" w:type="dxa"/>
          </w:tcPr>
          <w:p w14:paraId="1D476F00" w14:textId="77777777" w:rsidR="00C60210" w:rsidRPr="00B80F8D" w:rsidRDefault="00C60210" w:rsidP="00B023B0">
            <w:pPr>
              <w:pStyle w:val="ListParagraph"/>
              <w:ind w:left="0"/>
              <w:jc w:val="center"/>
              <w:rPr>
                <w:rFonts w:eastAsia="Times New Roman"/>
                <w:color w:val="auto"/>
                <w:sz w:val="16"/>
                <w:szCs w:val="16"/>
              </w:rPr>
            </w:pPr>
          </w:p>
        </w:tc>
        <w:tc>
          <w:tcPr>
            <w:tcW w:w="434" w:type="dxa"/>
          </w:tcPr>
          <w:p w14:paraId="587A1BAE" w14:textId="77777777" w:rsidR="00C60210" w:rsidRPr="00B80F8D" w:rsidRDefault="00C60210" w:rsidP="00B023B0">
            <w:pPr>
              <w:pStyle w:val="ListParagraph"/>
              <w:ind w:left="0"/>
              <w:jc w:val="center"/>
              <w:rPr>
                <w:rFonts w:eastAsia="Times New Roman"/>
                <w:color w:val="auto"/>
                <w:sz w:val="16"/>
                <w:szCs w:val="16"/>
              </w:rPr>
            </w:pPr>
          </w:p>
        </w:tc>
        <w:tc>
          <w:tcPr>
            <w:tcW w:w="601" w:type="dxa"/>
          </w:tcPr>
          <w:p w14:paraId="5F84C364"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3" w:type="dxa"/>
          </w:tcPr>
          <w:p w14:paraId="0348C3B9"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1989555E"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449CC3BA" w14:textId="77777777" w:rsidR="00C60210" w:rsidRPr="00B80F8D" w:rsidRDefault="00C60210" w:rsidP="00B023B0">
            <w:pPr>
              <w:pStyle w:val="ListParagraph"/>
              <w:ind w:left="0"/>
              <w:jc w:val="center"/>
              <w:rPr>
                <w:rFonts w:eastAsia="Times New Roman"/>
                <w:color w:val="auto"/>
                <w:sz w:val="16"/>
                <w:szCs w:val="16"/>
              </w:rPr>
            </w:pPr>
          </w:p>
        </w:tc>
      </w:tr>
      <w:tr w:rsidR="00C60210" w14:paraId="5F2A7784" w14:textId="77777777" w:rsidTr="00C60210">
        <w:tc>
          <w:tcPr>
            <w:tcW w:w="270" w:type="dxa"/>
            <w:shd w:val="clear" w:color="auto" w:fill="FFF2CC" w:themeFill="accent4" w:themeFillTint="33"/>
          </w:tcPr>
          <w:p w14:paraId="45E7C02A" w14:textId="5A35653A"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9</w:t>
            </w:r>
          </w:p>
        </w:tc>
        <w:tc>
          <w:tcPr>
            <w:tcW w:w="1399" w:type="dxa"/>
            <w:shd w:val="clear" w:color="auto" w:fill="FFF2CC" w:themeFill="accent4" w:themeFillTint="33"/>
          </w:tcPr>
          <w:p w14:paraId="1DC5AE2C" w14:textId="7788606A"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 xml:space="preserve">David </w:t>
            </w:r>
            <w:proofErr w:type="spellStart"/>
            <w:r w:rsidRPr="00F53EFF">
              <w:rPr>
                <w:rFonts w:eastAsia="Times New Roman"/>
                <w:color w:val="auto"/>
                <w:sz w:val="16"/>
                <w:szCs w:val="16"/>
              </w:rPr>
              <w:t>Prevatt</w:t>
            </w:r>
            <w:proofErr w:type="spellEnd"/>
          </w:p>
        </w:tc>
        <w:tc>
          <w:tcPr>
            <w:tcW w:w="524" w:type="dxa"/>
            <w:shd w:val="clear" w:color="auto" w:fill="FFF2CC" w:themeFill="accent4" w:themeFillTint="33"/>
          </w:tcPr>
          <w:p w14:paraId="72B5B96B" w14:textId="77777777" w:rsidR="00C60210" w:rsidRPr="00B80F8D" w:rsidRDefault="00C60210" w:rsidP="00B023B0">
            <w:pPr>
              <w:pStyle w:val="ListParagraph"/>
              <w:ind w:left="0"/>
              <w:jc w:val="center"/>
              <w:rPr>
                <w:rFonts w:eastAsia="Times New Roman"/>
                <w:color w:val="auto"/>
                <w:sz w:val="16"/>
                <w:szCs w:val="16"/>
              </w:rPr>
            </w:pPr>
          </w:p>
        </w:tc>
        <w:tc>
          <w:tcPr>
            <w:tcW w:w="421" w:type="dxa"/>
            <w:shd w:val="clear" w:color="auto" w:fill="FFF2CC" w:themeFill="accent4" w:themeFillTint="33"/>
          </w:tcPr>
          <w:p w14:paraId="43B78116" w14:textId="3F6722FA" w:rsidR="00C60210" w:rsidRPr="00B80F8D" w:rsidRDefault="00C60210" w:rsidP="00B023B0">
            <w:pPr>
              <w:pStyle w:val="ListParagraph"/>
              <w:ind w:left="0"/>
              <w:jc w:val="center"/>
              <w:rPr>
                <w:rFonts w:eastAsia="Times New Roman"/>
                <w:color w:val="auto"/>
                <w:sz w:val="16"/>
                <w:szCs w:val="16"/>
              </w:rPr>
            </w:pPr>
          </w:p>
        </w:tc>
        <w:tc>
          <w:tcPr>
            <w:tcW w:w="418" w:type="dxa"/>
            <w:shd w:val="clear" w:color="auto" w:fill="FFF2CC" w:themeFill="accent4" w:themeFillTint="33"/>
          </w:tcPr>
          <w:p w14:paraId="71DFFE2F"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FFF2CC" w:themeFill="accent4" w:themeFillTint="33"/>
          </w:tcPr>
          <w:p w14:paraId="39273F12"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2CC" w:themeFill="accent4" w:themeFillTint="33"/>
          </w:tcPr>
          <w:p w14:paraId="16D74531"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2CC" w:themeFill="accent4" w:themeFillTint="33"/>
          </w:tcPr>
          <w:p w14:paraId="5B8628B7"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FFF2CC" w:themeFill="accent4" w:themeFillTint="33"/>
          </w:tcPr>
          <w:p w14:paraId="44D4CBFF"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FFF2CC" w:themeFill="accent4" w:themeFillTint="33"/>
          </w:tcPr>
          <w:p w14:paraId="32A2D579"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FFF2CC" w:themeFill="accent4" w:themeFillTint="33"/>
          </w:tcPr>
          <w:p w14:paraId="2BE442A6" w14:textId="77777777" w:rsidR="00C60210" w:rsidRPr="00B80F8D" w:rsidRDefault="00C60210" w:rsidP="00B023B0">
            <w:pPr>
              <w:pStyle w:val="ListParagraph"/>
              <w:ind w:left="0"/>
              <w:jc w:val="center"/>
              <w:rPr>
                <w:rFonts w:eastAsia="Times New Roman"/>
                <w:color w:val="auto"/>
                <w:sz w:val="16"/>
                <w:szCs w:val="16"/>
              </w:rPr>
            </w:pPr>
          </w:p>
        </w:tc>
        <w:tc>
          <w:tcPr>
            <w:tcW w:w="601" w:type="dxa"/>
            <w:shd w:val="clear" w:color="auto" w:fill="FFF2CC" w:themeFill="accent4" w:themeFillTint="33"/>
          </w:tcPr>
          <w:p w14:paraId="6EDD9CEA"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3" w:type="dxa"/>
            <w:shd w:val="clear" w:color="auto" w:fill="FFF2CC" w:themeFill="accent4" w:themeFillTint="33"/>
          </w:tcPr>
          <w:p w14:paraId="46D9A934" w14:textId="77777777" w:rsidR="00C60210" w:rsidRPr="00B80F8D" w:rsidRDefault="00C60210" w:rsidP="00B023B0">
            <w:pPr>
              <w:pStyle w:val="ListParagraph"/>
              <w:ind w:left="0"/>
              <w:jc w:val="center"/>
              <w:rPr>
                <w:rFonts w:eastAsia="Times New Roman"/>
                <w:color w:val="auto"/>
                <w:sz w:val="16"/>
                <w:szCs w:val="16"/>
              </w:rPr>
            </w:pPr>
          </w:p>
        </w:tc>
        <w:tc>
          <w:tcPr>
            <w:tcW w:w="431" w:type="dxa"/>
            <w:shd w:val="clear" w:color="auto" w:fill="FFF2CC" w:themeFill="accent4" w:themeFillTint="33"/>
          </w:tcPr>
          <w:p w14:paraId="273D14D2"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2CC" w:themeFill="accent4" w:themeFillTint="33"/>
          </w:tcPr>
          <w:p w14:paraId="6D548976"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r>
      <w:tr w:rsidR="00C60210" w14:paraId="05A034C9" w14:textId="77777777" w:rsidTr="00C60210">
        <w:tc>
          <w:tcPr>
            <w:tcW w:w="270" w:type="dxa"/>
          </w:tcPr>
          <w:p w14:paraId="01FF9B5D" w14:textId="4D7939BC"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10</w:t>
            </w:r>
          </w:p>
        </w:tc>
        <w:tc>
          <w:tcPr>
            <w:tcW w:w="1399" w:type="dxa"/>
            <w:shd w:val="clear" w:color="auto" w:fill="auto"/>
          </w:tcPr>
          <w:p w14:paraId="7B37E255" w14:textId="66C3D642"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 xml:space="preserve">Jon </w:t>
            </w:r>
            <w:proofErr w:type="spellStart"/>
            <w:r w:rsidRPr="00F53EFF">
              <w:rPr>
                <w:rFonts w:eastAsia="Times New Roman"/>
                <w:color w:val="auto"/>
                <w:sz w:val="16"/>
                <w:szCs w:val="16"/>
              </w:rPr>
              <w:t>Heintz</w:t>
            </w:r>
            <w:proofErr w:type="spellEnd"/>
          </w:p>
        </w:tc>
        <w:tc>
          <w:tcPr>
            <w:tcW w:w="524" w:type="dxa"/>
            <w:shd w:val="clear" w:color="auto" w:fill="auto"/>
          </w:tcPr>
          <w:p w14:paraId="02BCCD1B" w14:textId="782BCAC5"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21" w:type="dxa"/>
            <w:shd w:val="clear" w:color="auto" w:fill="auto"/>
          </w:tcPr>
          <w:p w14:paraId="29F2DFD9" w14:textId="40972D9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6582632B"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56235292"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0C1C805"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25231380"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4DAFEB5E"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70E560A1"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4" w:type="dxa"/>
            <w:shd w:val="clear" w:color="auto" w:fill="auto"/>
          </w:tcPr>
          <w:p w14:paraId="2AB9032A" w14:textId="77777777" w:rsidR="00C60210" w:rsidRPr="00B80F8D" w:rsidRDefault="00C60210" w:rsidP="00B023B0">
            <w:pPr>
              <w:pStyle w:val="ListParagraph"/>
              <w:ind w:left="0"/>
              <w:jc w:val="center"/>
              <w:rPr>
                <w:rFonts w:eastAsia="Times New Roman"/>
                <w:color w:val="auto"/>
                <w:sz w:val="16"/>
                <w:szCs w:val="16"/>
              </w:rPr>
            </w:pPr>
          </w:p>
        </w:tc>
        <w:tc>
          <w:tcPr>
            <w:tcW w:w="601" w:type="dxa"/>
            <w:shd w:val="clear" w:color="auto" w:fill="auto"/>
          </w:tcPr>
          <w:p w14:paraId="16BB33B5"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26BB6B3E" w14:textId="77777777" w:rsidR="00C60210" w:rsidRPr="00B80F8D" w:rsidRDefault="00C60210" w:rsidP="00B023B0">
            <w:pPr>
              <w:pStyle w:val="ListParagraph"/>
              <w:ind w:left="0"/>
              <w:jc w:val="center"/>
              <w:rPr>
                <w:rFonts w:eastAsia="Times New Roman"/>
                <w:color w:val="auto"/>
                <w:sz w:val="16"/>
                <w:szCs w:val="16"/>
              </w:rPr>
            </w:pPr>
          </w:p>
        </w:tc>
        <w:tc>
          <w:tcPr>
            <w:tcW w:w="431" w:type="dxa"/>
            <w:shd w:val="clear" w:color="auto" w:fill="auto"/>
          </w:tcPr>
          <w:p w14:paraId="7F0DDDBF"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5200D961" w14:textId="77777777" w:rsidR="00C60210" w:rsidRPr="00B80F8D" w:rsidRDefault="00C60210" w:rsidP="00B023B0">
            <w:pPr>
              <w:pStyle w:val="ListParagraph"/>
              <w:ind w:left="0"/>
              <w:jc w:val="center"/>
              <w:rPr>
                <w:rFonts w:eastAsia="Times New Roman"/>
                <w:color w:val="auto"/>
                <w:sz w:val="16"/>
                <w:szCs w:val="16"/>
              </w:rPr>
            </w:pPr>
          </w:p>
        </w:tc>
      </w:tr>
      <w:tr w:rsidR="00C60210" w14:paraId="16F323D8" w14:textId="77777777" w:rsidTr="00C60210">
        <w:tc>
          <w:tcPr>
            <w:tcW w:w="270" w:type="dxa"/>
            <w:shd w:val="clear" w:color="auto" w:fill="FFF2CC" w:themeFill="accent4" w:themeFillTint="33"/>
          </w:tcPr>
          <w:p w14:paraId="559134F1" w14:textId="3EA8CF11"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11</w:t>
            </w:r>
          </w:p>
        </w:tc>
        <w:tc>
          <w:tcPr>
            <w:tcW w:w="1399" w:type="dxa"/>
            <w:shd w:val="clear" w:color="auto" w:fill="FFF2CC" w:themeFill="accent4" w:themeFillTint="33"/>
          </w:tcPr>
          <w:p w14:paraId="6E15AEA0" w14:textId="45F7FC27"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 xml:space="preserve">Danielle </w:t>
            </w:r>
            <w:proofErr w:type="spellStart"/>
            <w:r w:rsidRPr="00F53EFF">
              <w:rPr>
                <w:rFonts w:eastAsia="Times New Roman"/>
                <w:color w:val="auto"/>
                <w:sz w:val="16"/>
                <w:szCs w:val="16"/>
              </w:rPr>
              <w:t>Mieler</w:t>
            </w:r>
            <w:proofErr w:type="spellEnd"/>
          </w:p>
        </w:tc>
        <w:tc>
          <w:tcPr>
            <w:tcW w:w="524" w:type="dxa"/>
            <w:shd w:val="clear" w:color="auto" w:fill="FFF2CC" w:themeFill="accent4" w:themeFillTint="33"/>
          </w:tcPr>
          <w:p w14:paraId="67FAC741"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FFF2CC" w:themeFill="accent4" w:themeFillTint="33"/>
          </w:tcPr>
          <w:p w14:paraId="50D92563" w14:textId="201530B8"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FFF2CC" w:themeFill="accent4" w:themeFillTint="33"/>
          </w:tcPr>
          <w:p w14:paraId="357C2B25"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2CC" w:themeFill="accent4" w:themeFillTint="33"/>
          </w:tcPr>
          <w:p w14:paraId="778FFEA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2CC" w:themeFill="accent4" w:themeFillTint="33"/>
          </w:tcPr>
          <w:p w14:paraId="54280BAE"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2CC" w:themeFill="accent4" w:themeFillTint="33"/>
          </w:tcPr>
          <w:p w14:paraId="1F54F1AC"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FFF2CC" w:themeFill="accent4" w:themeFillTint="33"/>
          </w:tcPr>
          <w:p w14:paraId="18C816B3"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FFF2CC" w:themeFill="accent4" w:themeFillTint="33"/>
          </w:tcPr>
          <w:p w14:paraId="4F1B81E1"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FFF2CC" w:themeFill="accent4" w:themeFillTint="33"/>
          </w:tcPr>
          <w:p w14:paraId="6D527F0F" w14:textId="77777777" w:rsidR="00C60210" w:rsidRPr="00B80F8D" w:rsidRDefault="00C60210" w:rsidP="00B023B0">
            <w:pPr>
              <w:pStyle w:val="ListParagraph"/>
              <w:ind w:left="0"/>
              <w:jc w:val="center"/>
              <w:rPr>
                <w:rFonts w:eastAsia="Times New Roman"/>
                <w:color w:val="auto"/>
                <w:sz w:val="16"/>
                <w:szCs w:val="16"/>
              </w:rPr>
            </w:pPr>
          </w:p>
        </w:tc>
        <w:tc>
          <w:tcPr>
            <w:tcW w:w="601" w:type="dxa"/>
            <w:shd w:val="clear" w:color="auto" w:fill="FFF2CC" w:themeFill="accent4" w:themeFillTint="33"/>
          </w:tcPr>
          <w:p w14:paraId="10E158FD"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FFF2CC" w:themeFill="accent4" w:themeFillTint="33"/>
          </w:tcPr>
          <w:p w14:paraId="301FA32D"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1" w:type="dxa"/>
            <w:shd w:val="clear" w:color="auto" w:fill="FFF2CC" w:themeFill="accent4" w:themeFillTint="33"/>
          </w:tcPr>
          <w:p w14:paraId="48C3B0D7"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FFF2CC" w:themeFill="accent4" w:themeFillTint="33"/>
          </w:tcPr>
          <w:p w14:paraId="16640A7D" w14:textId="77777777" w:rsidR="00C60210" w:rsidRPr="00B80F8D" w:rsidRDefault="00C60210" w:rsidP="00B023B0">
            <w:pPr>
              <w:pStyle w:val="ListParagraph"/>
              <w:ind w:left="0"/>
              <w:jc w:val="center"/>
              <w:rPr>
                <w:rFonts w:eastAsia="Times New Roman"/>
                <w:color w:val="auto"/>
                <w:sz w:val="16"/>
                <w:szCs w:val="16"/>
              </w:rPr>
            </w:pPr>
          </w:p>
        </w:tc>
      </w:tr>
      <w:tr w:rsidR="00C60210" w14:paraId="4F906241" w14:textId="77777777" w:rsidTr="00C60210">
        <w:tc>
          <w:tcPr>
            <w:tcW w:w="270" w:type="dxa"/>
          </w:tcPr>
          <w:p w14:paraId="714E21F8" w14:textId="6D1C9CFC"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12</w:t>
            </w:r>
          </w:p>
        </w:tc>
        <w:tc>
          <w:tcPr>
            <w:tcW w:w="1399" w:type="dxa"/>
          </w:tcPr>
          <w:p w14:paraId="08B2E56C" w14:textId="3EA8EB0D"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David Bonneville</w:t>
            </w:r>
          </w:p>
        </w:tc>
        <w:tc>
          <w:tcPr>
            <w:tcW w:w="524" w:type="dxa"/>
          </w:tcPr>
          <w:p w14:paraId="111230D9" w14:textId="77777777" w:rsidR="00C60210" w:rsidRDefault="00C60210" w:rsidP="00B023B0">
            <w:pPr>
              <w:pStyle w:val="ListParagraph"/>
              <w:ind w:left="0"/>
              <w:jc w:val="center"/>
              <w:rPr>
                <w:rFonts w:eastAsia="Times New Roman"/>
                <w:color w:val="auto"/>
                <w:sz w:val="16"/>
                <w:szCs w:val="16"/>
              </w:rPr>
            </w:pPr>
          </w:p>
        </w:tc>
        <w:tc>
          <w:tcPr>
            <w:tcW w:w="421" w:type="dxa"/>
          </w:tcPr>
          <w:p w14:paraId="52180C71" w14:textId="1ABAF33D"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tcPr>
          <w:p w14:paraId="7FA22B54"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0B654562"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34B9057E"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39148293"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62E20609" w14:textId="77777777" w:rsidR="00C60210" w:rsidRPr="00B80F8D" w:rsidRDefault="00C60210" w:rsidP="00B023B0">
            <w:pPr>
              <w:pStyle w:val="ListParagraph"/>
              <w:ind w:left="0"/>
              <w:jc w:val="center"/>
              <w:rPr>
                <w:rFonts w:eastAsia="Times New Roman"/>
                <w:color w:val="auto"/>
                <w:sz w:val="16"/>
                <w:szCs w:val="16"/>
              </w:rPr>
            </w:pPr>
          </w:p>
        </w:tc>
        <w:tc>
          <w:tcPr>
            <w:tcW w:w="434" w:type="dxa"/>
          </w:tcPr>
          <w:p w14:paraId="140E6FCC" w14:textId="77777777" w:rsidR="00C60210" w:rsidRPr="00B80F8D" w:rsidRDefault="00C60210" w:rsidP="00B023B0">
            <w:pPr>
              <w:pStyle w:val="ListParagraph"/>
              <w:ind w:left="0"/>
              <w:jc w:val="center"/>
              <w:rPr>
                <w:rFonts w:eastAsia="Times New Roman"/>
                <w:color w:val="auto"/>
                <w:sz w:val="16"/>
                <w:szCs w:val="16"/>
              </w:rPr>
            </w:pPr>
          </w:p>
        </w:tc>
        <w:tc>
          <w:tcPr>
            <w:tcW w:w="434" w:type="dxa"/>
          </w:tcPr>
          <w:p w14:paraId="08E3A780" w14:textId="77777777" w:rsidR="00C60210" w:rsidRPr="00B80F8D" w:rsidRDefault="00C60210" w:rsidP="00B023B0">
            <w:pPr>
              <w:pStyle w:val="ListParagraph"/>
              <w:ind w:left="0"/>
              <w:jc w:val="center"/>
              <w:rPr>
                <w:rFonts w:eastAsia="Times New Roman"/>
                <w:color w:val="auto"/>
                <w:sz w:val="16"/>
                <w:szCs w:val="16"/>
              </w:rPr>
            </w:pPr>
          </w:p>
        </w:tc>
        <w:tc>
          <w:tcPr>
            <w:tcW w:w="601" w:type="dxa"/>
          </w:tcPr>
          <w:p w14:paraId="209D8A6E"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56D468E3"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2DC8BEE2"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094FA598" w14:textId="77777777" w:rsidR="00C60210" w:rsidRPr="00B80F8D" w:rsidRDefault="00C60210" w:rsidP="00B023B0">
            <w:pPr>
              <w:pStyle w:val="ListParagraph"/>
              <w:ind w:left="0"/>
              <w:jc w:val="center"/>
              <w:rPr>
                <w:rFonts w:eastAsia="Times New Roman"/>
                <w:color w:val="auto"/>
                <w:sz w:val="16"/>
                <w:szCs w:val="16"/>
              </w:rPr>
            </w:pPr>
          </w:p>
        </w:tc>
      </w:tr>
      <w:tr w:rsidR="00C60210" w14:paraId="63A74A90" w14:textId="77777777" w:rsidTr="00C60210">
        <w:tc>
          <w:tcPr>
            <w:tcW w:w="270" w:type="dxa"/>
          </w:tcPr>
          <w:p w14:paraId="2F991F15" w14:textId="7DBF5944" w:rsidR="00C60210" w:rsidRPr="00F53EFF" w:rsidRDefault="00C60210" w:rsidP="009352FB">
            <w:pPr>
              <w:pStyle w:val="ListParagraph"/>
              <w:ind w:left="0"/>
              <w:rPr>
                <w:rFonts w:eastAsia="Times New Roman"/>
                <w:color w:val="auto"/>
                <w:sz w:val="16"/>
                <w:szCs w:val="16"/>
              </w:rPr>
            </w:pPr>
            <w:r>
              <w:rPr>
                <w:rFonts w:eastAsia="Times New Roman"/>
                <w:color w:val="auto"/>
                <w:sz w:val="16"/>
                <w:szCs w:val="16"/>
              </w:rPr>
              <w:t>13</w:t>
            </w:r>
          </w:p>
        </w:tc>
        <w:tc>
          <w:tcPr>
            <w:tcW w:w="1399" w:type="dxa"/>
          </w:tcPr>
          <w:p w14:paraId="71162DA1" w14:textId="5D7A1589" w:rsidR="00C60210" w:rsidRPr="00F53EFF" w:rsidRDefault="00C60210" w:rsidP="009352FB">
            <w:pPr>
              <w:pStyle w:val="ListParagraph"/>
              <w:ind w:left="0"/>
              <w:rPr>
                <w:rFonts w:eastAsia="Times New Roman"/>
                <w:color w:val="auto"/>
                <w:sz w:val="16"/>
                <w:szCs w:val="16"/>
              </w:rPr>
            </w:pPr>
            <w:r w:rsidRPr="00F53EFF">
              <w:rPr>
                <w:rFonts w:eastAsia="Times New Roman"/>
                <w:color w:val="auto"/>
                <w:sz w:val="16"/>
                <w:szCs w:val="16"/>
              </w:rPr>
              <w:t xml:space="preserve">Kelly </w:t>
            </w:r>
            <w:proofErr w:type="spellStart"/>
            <w:r w:rsidRPr="00F53EFF">
              <w:rPr>
                <w:rFonts w:eastAsia="Times New Roman"/>
                <w:color w:val="auto"/>
                <w:sz w:val="16"/>
                <w:szCs w:val="16"/>
              </w:rPr>
              <w:t>Cobeen</w:t>
            </w:r>
            <w:proofErr w:type="spellEnd"/>
          </w:p>
        </w:tc>
        <w:tc>
          <w:tcPr>
            <w:tcW w:w="524" w:type="dxa"/>
            <w:shd w:val="clear" w:color="auto" w:fill="auto"/>
          </w:tcPr>
          <w:p w14:paraId="55207549"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7AE16768" w14:textId="01E8A5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3448EC9B"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6CA9B87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7144536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6540BC02"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7F79830C" w14:textId="77777777"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4" w:type="dxa"/>
            <w:shd w:val="clear" w:color="auto" w:fill="auto"/>
          </w:tcPr>
          <w:p w14:paraId="73A559E5"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29768DD2" w14:textId="77777777" w:rsidR="00C60210" w:rsidRPr="00B80F8D" w:rsidRDefault="00C60210" w:rsidP="00B023B0">
            <w:pPr>
              <w:pStyle w:val="ListParagraph"/>
              <w:ind w:left="0"/>
              <w:jc w:val="center"/>
              <w:rPr>
                <w:rFonts w:eastAsia="Times New Roman"/>
                <w:color w:val="auto"/>
                <w:sz w:val="16"/>
                <w:szCs w:val="16"/>
              </w:rPr>
            </w:pPr>
          </w:p>
        </w:tc>
        <w:tc>
          <w:tcPr>
            <w:tcW w:w="601" w:type="dxa"/>
          </w:tcPr>
          <w:p w14:paraId="442B6CDB"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50FBF6E8"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6D3C0AF4"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337D2954" w14:textId="77777777" w:rsidR="00C60210" w:rsidRPr="00B80F8D" w:rsidRDefault="00C60210" w:rsidP="00B023B0">
            <w:pPr>
              <w:pStyle w:val="ListParagraph"/>
              <w:ind w:left="0"/>
              <w:jc w:val="center"/>
              <w:rPr>
                <w:rFonts w:eastAsia="Times New Roman"/>
                <w:color w:val="auto"/>
                <w:sz w:val="16"/>
                <w:szCs w:val="16"/>
              </w:rPr>
            </w:pPr>
          </w:p>
        </w:tc>
      </w:tr>
      <w:tr w:rsidR="00C60210" w14:paraId="527C2776" w14:textId="77777777" w:rsidTr="00C60210">
        <w:tc>
          <w:tcPr>
            <w:tcW w:w="270" w:type="dxa"/>
            <w:shd w:val="clear" w:color="auto" w:fill="FFFFFF" w:themeFill="background1"/>
          </w:tcPr>
          <w:p w14:paraId="5ACDF3CF" w14:textId="30D0914C" w:rsidR="00C60210" w:rsidRPr="00F53EFF" w:rsidRDefault="00C60210" w:rsidP="009352FB">
            <w:pPr>
              <w:pStyle w:val="ListParagraph"/>
              <w:ind w:left="0"/>
              <w:rPr>
                <w:color w:val="auto"/>
                <w:sz w:val="16"/>
                <w:szCs w:val="16"/>
              </w:rPr>
            </w:pPr>
            <w:r>
              <w:rPr>
                <w:color w:val="auto"/>
                <w:sz w:val="16"/>
                <w:szCs w:val="16"/>
              </w:rPr>
              <w:t>14</w:t>
            </w:r>
          </w:p>
        </w:tc>
        <w:tc>
          <w:tcPr>
            <w:tcW w:w="1399" w:type="dxa"/>
            <w:shd w:val="clear" w:color="auto" w:fill="FFFFFF" w:themeFill="background1"/>
          </w:tcPr>
          <w:p w14:paraId="7A4326AD" w14:textId="204A3B34" w:rsidR="00C60210" w:rsidRPr="00F53EFF" w:rsidRDefault="00C60210" w:rsidP="009352FB">
            <w:pPr>
              <w:pStyle w:val="ListParagraph"/>
              <w:ind w:left="0"/>
              <w:rPr>
                <w:rFonts w:eastAsia="Times New Roman"/>
                <w:color w:val="auto"/>
                <w:sz w:val="16"/>
                <w:szCs w:val="16"/>
              </w:rPr>
            </w:pPr>
            <w:r w:rsidRPr="00F53EFF">
              <w:rPr>
                <w:color w:val="auto"/>
                <w:sz w:val="16"/>
                <w:szCs w:val="16"/>
              </w:rPr>
              <w:t xml:space="preserve">Ron </w:t>
            </w:r>
            <w:proofErr w:type="spellStart"/>
            <w:r w:rsidRPr="00F53EFF">
              <w:rPr>
                <w:color w:val="auto"/>
                <w:sz w:val="16"/>
                <w:szCs w:val="16"/>
              </w:rPr>
              <w:t>Klemencic</w:t>
            </w:r>
            <w:proofErr w:type="spellEnd"/>
          </w:p>
        </w:tc>
        <w:tc>
          <w:tcPr>
            <w:tcW w:w="524" w:type="dxa"/>
            <w:shd w:val="clear" w:color="auto" w:fill="auto"/>
          </w:tcPr>
          <w:p w14:paraId="12FF6C72"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7D2FB2CE" w14:textId="59404E0F"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29EB81B2" w14:textId="65D77AF3"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auto"/>
          </w:tcPr>
          <w:p w14:paraId="4ADB630E"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41246ED1" w14:textId="1694AACD"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06" w:type="dxa"/>
            <w:shd w:val="clear" w:color="auto" w:fill="auto"/>
          </w:tcPr>
          <w:p w14:paraId="2DBC13E8"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235465CD"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77D23DFD" w14:textId="77777777" w:rsidR="00C60210" w:rsidRPr="00B80F8D" w:rsidRDefault="00C60210" w:rsidP="00B023B0">
            <w:pPr>
              <w:pStyle w:val="ListParagraph"/>
              <w:ind w:left="0"/>
              <w:jc w:val="center"/>
              <w:rPr>
                <w:rFonts w:eastAsia="Times New Roman"/>
                <w:color w:val="auto"/>
                <w:sz w:val="16"/>
                <w:szCs w:val="16"/>
              </w:rPr>
            </w:pPr>
          </w:p>
        </w:tc>
        <w:tc>
          <w:tcPr>
            <w:tcW w:w="434" w:type="dxa"/>
            <w:shd w:val="clear" w:color="auto" w:fill="auto"/>
          </w:tcPr>
          <w:p w14:paraId="57A10EEA" w14:textId="207A2690" w:rsidR="00C60210" w:rsidRPr="00B80F8D" w:rsidRDefault="00C60210" w:rsidP="00B023B0">
            <w:pPr>
              <w:pStyle w:val="ListParagraph"/>
              <w:ind w:left="0"/>
              <w:jc w:val="center"/>
              <w:rPr>
                <w:rFonts w:eastAsia="Times New Roman"/>
                <w:color w:val="auto"/>
                <w:sz w:val="16"/>
                <w:szCs w:val="16"/>
              </w:rPr>
            </w:pPr>
          </w:p>
        </w:tc>
        <w:tc>
          <w:tcPr>
            <w:tcW w:w="601" w:type="dxa"/>
            <w:shd w:val="clear" w:color="auto" w:fill="FFFFFF" w:themeFill="background1"/>
          </w:tcPr>
          <w:p w14:paraId="58C61886"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FFFFFF" w:themeFill="background1"/>
          </w:tcPr>
          <w:p w14:paraId="42A7ADA3" w14:textId="77777777" w:rsidR="00C60210" w:rsidRPr="00B80F8D" w:rsidRDefault="00C60210" w:rsidP="00B023B0">
            <w:pPr>
              <w:pStyle w:val="ListParagraph"/>
              <w:ind w:left="0"/>
              <w:jc w:val="center"/>
              <w:rPr>
                <w:rFonts w:eastAsia="Times New Roman"/>
                <w:color w:val="auto"/>
                <w:sz w:val="16"/>
                <w:szCs w:val="16"/>
              </w:rPr>
            </w:pPr>
          </w:p>
        </w:tc>
        <w:tc>
          <w:tcPr>
            <w:tcW w:w="431" w:type="dxa"/>
            <w:shd w:val="clear" w:color="auto" w:fill="FFFFFF" w:themeFill="background1"/>
          </w:tcPr>
          <w:p w14:paraId="35BD21B4"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FFF" w:themeFill="background1"/>
          </w:tcPr>
          <w:p w14:paraId="33C2C7EA" w14:textId="77777777" w:rsidR="00C60210" w:rsidRPr="00B80F8D" w:rsidRDefault="00C60210" w:rsidP="00B023B0">
            <w:pPr>
              <w:pStyle w:val="ListParagraph"/>
              <w:ind w:left="0"/>
              <w:jc w:val="center"/>
              <w:rPr>
                <w:rFonts w:eastAsia="Times New Roman"/>
                <w:color w:val="auto"/>
                <w:sz w:val="16"/>
                <w:szCs w:val="16"/>
              </w:rPr>
            </w:pPr>
          </w:p>
        </w:tc>
      </w:tr>
      <w:tr w:rsidR="00C60210" w14:paraId="0DE75699" w14:textId="77777777" w:rsidTr="00C60210">
        <w:tc>
          <w:tcPr>
            <w:tcW w:w="270" w:type="dxa"/>
            <w:shd w:val="clear" w:color="auto" w:fill="FFFFFF" w:themeFill="background1"/>
          </w:tcPr>
          <w:p w14:paraId="248BE447" w14:textId="4C62D35F" w:rsidR="00C60210" w:rsidRPr="00F53EFF" w:rsidRDefault="00C60210" w:rsidP="009352FB">
            <w:pPr>
              <w:pStyle w:val="ListParagraph"/>
              <w:ind w:left="0"/>
              <w:rPr>
                <w:color w:val="auto"/>
                <w:sz w:val="16"/>
                <w:szCs w:val="16"/>
              </w:rPr>
            </w:pPr>
            <w:r>
              <w:rPr>
                <w:color w:val="auto"/>
                <w:sz w:val="16"/>
                <w:szCs w:val="16"/>
              </w:rPr>
              <w:t>15</w:t>
            </w:r>
          </w:p>
        </w:tc>
        <w:tc>
          <w:tcPr>
            <w:tcW w:w="1399" w:type="dxa"/>
            <w:shd w:val="clear" w:color="auto" w:fill="FFFFFF" w:themeFill="background1"/>
          </w:tcPr>
          <w:p w14:paraId="34662E66" w14:textId="2A0F35B3" w:rsidR="00C60210" w:rsidRPr="00F53EFF" w:rsidRDefault="00C60210" w:rsidP="009352FB">
            <w:pPr>
              <w:pStyle w:val="ListParagraph"/>
              <w:ind w:left="0"/>
              <w:rPr>
                <w:rFonts w:eastAsia="Times New Roman"/>
                <w:color w:val="auto"/>
                <w:sz w:val="16"/>
                <w:szCs w:val="16"/>
              </w:rPr>
            </w:pPr>
            <w:r w:rsidRPr="00F53EFF">
              <w:rPr>
                <w:color w:val="auto"/>
                <w:sz w:val="16"/>
                <w:szCs w:val="16"/>
              </w:rPr>
              <w:t>Don Anderson</w:t>
            </w:r>
          </w:p>
        </w:tc>
        <w:tc>
          <w:tcPr>
            <w:tcW w:w="524" w:type="dxa"/>
            <w:shd w:val="clear" w:color="auto" w:fill="auto"/>
          </w:tcPr>
          <w:p w14:paraId="714ED821"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4F0ECD34" w14:textId="6BF00077"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05E32F0B"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779062BA"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21D4471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67B827AD"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1ED70E63"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3B4FAD14" w14:textId="6802EB88"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4" w:type="dxa"/>
            <w:shd w:val="clear" w:color="auto" w:fill="auto"/>
          </w:tcPr>
          <w:p w14:paraId="7AAFAC2F" w14:textId="77777777" w:rsidR="00C60210" w:rsidRPr="00B80F8D" w:rsidRDefault="00C60210" w:rsidP="00B023B0">
            <w:pPr>
              <w:pStyle w:val="ListParagraph"/>
              <w:ind w:left="0"/>
              <w:jc w:val="center"/>
              <w:rPr>
                <w:rFonts w:eastAsia="Times New Roman"/>
                <w:color w:val="auto"/>
                <w:sz w:val="16"/>
                <w:szCs w:val="16"/>
              </w:rPr>
            </w:pPr>
          </w:p>
        </w:tc>
        <w:tc>
          <w:tcPr>
            <w:tcW w:w="601" w:type="dxa"/>
            <w:shd w:val="clear" w:color="auto" w:fill="FFFFFF" w:themeFill="background1"/>
          </w:tcPr>
          <w:p w14:paraId="406D71B3"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FFFFFF" w:themeFill="background1"/>
          </w:tcPr>
          <w:p w14:paraId="41AFA5C9" w14:textId="77777777" w:rsidR="00C60210" w:rsidRPr="00B80F8D" w:rsidRDefault="00C60210" w:rsidP="00B023B0">
            <w:pPr>
              <w:pStyle w:val="ListParagraph"/>
              <w:ind w:left="0"/>
              <w:jc w:val="center"/>
              <w:rPr>
                <w:rFonts w:eastAsia="Times New Roman"/>
                <w:color w:val="auto"/>
                <w:sz w:val="16"/>
                <w:szCs w:val="16"/>
              </w:rPr>
            </w:pPr>
          </w:p>
        </w:tc>
        <w:tc>
          <w:tcPr>
            <w:tcW w:w="431" w:type="dxa"/>
            <w:shd w:val="clear" w:color="auto" w:fill="FFFFFF" w:themeFill="background1"/>
          </w:tcPr>
          <w:p w14:paraId="0A77EDFC"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FFFFFF" w:themeFill="background1"/>
          </w:tcPr>
          <w:p w14:paraId="35F1877B" w14:textId="77777777" w:rsidR="00C60210" w:rsidRPr="00B80F8D" w:rsidRDefault="00C60210" w:rsidP="00B023B0">
            <w:pPr>
              <w:pStyle w:val="ListParagraph"/>
              <w:ind w:left="0"/>
              <w:jc w:val="center"/>
              <w:rPr>
                <w:rFonts w:eastAsia="Times New Roman"/>
                <w:color w:val="auto"/>
                <w:sz w:val="16"/>
                <w:szCs w:val="16"/>
              </w:rPr>
            </w:pPr>
          </w:p>
        </w:tc>
      </w:tr>
      <w:tr w:rsidR="00C60210" w14:paraId="23A38730" w14:textId="77777777" w:rsidTr="00C60210">
        <w:tc>
          <w:tcPr>
            <w:tcW w:w="270" w:type="dxa"/>
          </w:tcPr>
          <w:p w14:paraId="01BC442E" w14:textId="0653B749" w:rsidR="00C60210" w:rsidRPr="00F53EFF" w:rsidRDefault="00C60210" w:rsidP="009352FB">
            <w:pPr>
              <w:pStyle w:val="ListParagraph"/>
              <w:ind w:left="0"/>
              <w:rPr>
                <w:color w:val="auto"/>
                <w:sz w:val="16"/>
                <w:szCs w:val="16"/>
              </w:rPr>
            </w:pPr>
            <w:r>
              <w:rPr>
                <w:color w:val="auto"/>
                <w:sz w:val="16"/>
                <w:szCs w:val="16"/>
              </w:rPr>
              <w:t>16</w:t>
            </w:r>
          </w:p>
        </w:tc>
        <w:tc>
          <w:tcPr>
            <w:tcW w:w="1399" w:type="dxa"/>
          </w:tcPr>
          <w:p w14:paraId="06A37681" w14:textId="25C13FE0" w:rsidR="00C60210" w:rsidRPr="00F53EFF" w:rsidRDefault="00C60210" w:rsidP="009352FB">
            <w:pPr>
              <w:pStyle w:val="ListParagraph"/>
              <w:ind w:left="0"/>
              <w:rPr>
                <w:color w:val="auto"/>
                <w:sz w:val="16"/>
                <w:szCs w:val="16"/>
              </w:rPr>
            </w:pPr>
            <w:r w:rsidRPr="00F53EFF">
              <w:rPr>
                <w:color w:val="auto"/>
                <w:sz w:val="16"/>
                <w:szCs w:val="16"/>
              </w:rPr>
              <w:t xml:space="preserve">Chris </w:t>
            </w:r>
            <w:proofErr w:type="spellStart"/>
            <w:r w:rsidRPr="00F53EFF">
              <w:rPr>
                <w:color w:val="auto"/>
                <w:sz w:val="16"/>
                <w:szCs w:val="16"/>
              </w:rPr>
              <w:t>Rojahn</w:t>
            </w:r>
            <w:proofErr w:type="spellEnd"/>
          </w:p>
        </w:tc>
        <w:tc>
          <w:tcPr>
            <w:tcW w:w="524" w:type="dxa"/>
            <w:shd w:val="clear" w:color="auto" w:fill="auto"/>
          </w:tcPr>
          <w:p w14:paraId="4805E4D7" w14:textId="49137249"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21" w:type="dxa"/>
            <w:shd w:val="clear" w:color="auto" w:fill="auto"/>
          </w:tcPr>
          <w:p w14:paraId="2528EBDE" w14:textId="0A143AF5"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2DED5C5F"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5FD6F3F"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66A1895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5E1EDD6B" w14:textId="77777777" w:rsidR="00C60210" w:rsidRPr="00B80F8D" w:rsidRDefault="00C60210" w:rsidP="00B023B0">
            <w:pPr>
              <w:pStyle w:val="ListParagraph"/>
              <w:ind w:left="0"/>
              <w:jc w:val="center"/>
              <w:rPr>
                <w:rFonts w:eastAsia="Times New Roman"/>
                <w:color w:val="auto"/>
                <w:sz w:val="16"/>
                <w:szCs w:val="16"/>
              </w:rPr>
            </w:pPr>
          </w:p>
        </w:tc>
        <w:tc>
          <w:tcPr>
            <w:tcW w:w="433" w:type="dxa"/>
            <w:shd w:val="clear" w:color="auto" w:fill="auto"/>
          </w:tcPr>
          <w:p w14:paraId="612133A7"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51C76914"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6A17152E" w14:textId="77777777" w:rsidR="00C60210" w:rsidRPr="00B80F8D" w:rsidRDefault="00C60210" w:rsidP="00B023B0">
            <w:pPr>
              <w:pStyle w:val="ListParagraph"/>
              <w:ind w:left="0"/>
              <w:jc w:val="center"/>
              <w:rPr>
                <w:rFonts w:eastAsia="Times New Roman"/>
                <w:color w:val="auto"/>
                <w:sz w:val="16"/>
                <w:szCs w:val="16"/>
              </w:rPr>
            </w:pPr>
          </w:p>
        </w:tc>
        <w:tc>
          <w:tcPr>
            <w:tcW w:w="601" w:type="dxa"/>
          </w:tcPr>
          <w:p w14:paraId="12947BA7"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65586565"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0B36C895"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4FB9BD64" w14:textId="77777777" w:rsidR="00C60210" w:rsidRPr="00B80F8D" w:rsidRDefault="00C60210" w:rsidP="00B023B0">
            <w:pPr>
              <w:pStyle w:val="ListParagraph"/>
              <w:ind w:left="0"/>
              <w:jc w:val="center"/>
              <w:rPr>
                <w:rFonts w:eastAsia="Times New Roman"/>
                <w:color w:val="auto"/>
                <w:sz w:val="16"/>
                <w:szCs w:val="16"/>
              </w:rPr>
            </w:pPr>
          </w:p>
        </w:tc>
      </w:tr>
      <w:tr w:rsidR="00C60210" w14:paraId="03D0DE67" w14:textId="77777777" w:rsidTr="00C60210">
        <w:tc>
          <w:tcPr>
            <w:tcW w:w="270" w:type="dxa"/>
          </w:tcPr>
          <w:p w14:paraId="6D9A23B5" w14:textId="54AB21D7" w:rsidR="00C60210" w:rsidRPr="00F53EFF" w:rsidRDefault="00C60210" w:rsidP="00204DD3">
            <w:pPr>
              <w:pStyle w:val="ListParagraph"/>
              <w:ind w:left="0"/>
              <w:rPr>
                <w:rStyle w:val="Strong"/>
                <w:b w:val="0"/>
                <w:color w:val="auto"/>
                <w:sz w:val="16"/>
                <w:szCs w:val="16"/>
              </w:rPr>
            </w:pPr>
            <w:r>
              <w:rPr>
                <w:rStyle w:val="Strong"/>
                <w:b w:val="0"/>
                <w:color w:val="auto"/>
                <w:sz w:val="16"/>
                <w:szCs w:val="16"/>
              </w:rPr>
              <w:t>17</w:t>
            </w:r>
          </w:p>
        </w:tc>
        <w:tc>
          <w:tcPr>
            <w:tcW w:w="1399" w:type="dxa"/>
          </w:tcPr>
          <w:p w14:paraId="59FB5FFC" w14:textId="2E9036FC" w:rsidR="00C60210" w:rsidRPr="00F53EFF" w:rsidRDefault="00C60210" w:rsidP="00204DD3">
            <w:pPr>
              <w:pStyle w:val="ListParagraph"/>
              <w:ind w:left="0"/>
              <w:rPr>
                <w:b/>
                <w:color w:val="auto"/>
                <w:sz w:val="16"/>
                <w:szCs w:val="16"/>
              </w:rPr>
            </w:pPr>
            <w:r w:rsidRPr="00F53EFF">
              <w:rPr>
                <w:rStyle w:val="Strong"/>
                <w:b w:val="0"/>
                <w:color w:val="auto"/>
                <w:sz w:val="16"/>
                <w:szCs w:val="16"/>
              </w:rPr>
              <w:t xml:space="preserve">Samuel M. </w:t>
            </w:r>
            <w:proofErr w:type="spellStart"/>
            <w:r w:rsidRPr="00F53EFF">
              <w:rPr>
                <w:rStyle w:val="Strong"/>
                <w:b w:val="0"/>
                <w:color w:val="auto"/>
                <w:sz w:val="16"/>
                <w:szCs w:val="16"/>
              </w:rPr>
              <w:t>Rubenzer</w:t>
            </w:r>
            <w:proofErr w:type="spellEnd"/>
          </w:p>
        </w:tc>
        <w:tc>
          <w:tcPr>
            <w:tcW w:w="524" w:type="dxa"/>
            <w:shd w:val="clear" w:color="auto" w:fill="auto"/>
          </w:tcPr>
          <w:p w14:paraId="1B9E1C1E"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1BA96F03" w14:textId="77777777" w:rsidR="00C60210" w:rsidRDefault="00C60210" w:rsidP="00B023B0">
            <w:pPr>
              <w:pStyle w:val="ListParagraph"/>
              <w:ind w:left="0"/>
              <w:jc w:val="center"/>
              <w:rPr>
                <w:rFonts w:eastAsia="Times New Roman"/>
                <w:color w:val="auto"/>
                <w:sz w:val="16"/>
                <w:szCs w:val="16"/>
              </w:rPr>
            </w:pPr>
          </w:p>
        </w:tc>
        <w:tc>
          <w:tcPr>
            <w:tcW w:w="418" w:type="dxa"/>
            <w:shd w:val="clear" w:color="auto" w:fill="auto"/>
          </w:tcPr>
          <w:p w14:paraId="4E147DD6"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32C59FB"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5784A07D"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160DBEFF" w14:textId="7EF0CAB0"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3" w:type="dxa"/>
            <w:shd w:val="clear" w:color="auto" w:fill="auto"/>
          </w:tcPr>
          <w:p w14:paraId="2864F01D"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435C5A35"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48FD7CA5" w14:textId="77777777" w:rsidR="00C60210" w:rsidRPr="00B80F8D" w:rsidRDefault="00C60210" w:rsidP="00B023B0">
            <w:pPr>
              <w:pStyle w:val="ListParagraph"/>
              <w:ind w:left="0"/>
              <w:jc w:val="center"/>
              <w:rPr>
                <w:rFonts w:eastAsia="Times New Roman"/>
                <w:color w:val="auto"/>
                <w:sz w:val="16"/>
                <w:szCs w:val="16"/>
              </w:rPr>
            </w:pPr>
          </w:p>
        </w:tc>
        <w:tc>
          <w:tcPr>
            <w:tcW w:w="601" w:type="dxa"/>
          </w:tcPr>
          <w:p w14:paraId="3FA3942B"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01780161"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73D98BD9"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7BD70B13" w14:textId="77777777" w:rsidR="00C60210" w:rsidRPr="00B80F8D" w:rsidRDefault="00C60210" w:rsidP="00B023B0">
            <w:pPr>
              <w:pStyle w:val="ListParagraph"/>
              <w:ind w:left="0"/>
              <w:jc w:val="center"/>
              <w:rPr>
                <w:rFonts w:eastAsia="Times New Roman"/>
                <w:color w:val="auto"/>
                <w:sz w:val="16"/>
                <w:szCs w:val="16"/>
              </w:rPr>
            </w:pPr>
          </w:p>
        </w:tc>
      </w:tr>
      <w:tr w:rsidR="00C60210" w14:paraId="07CD27D1" w14:textId="77777777" w:rsidTr="00C60210">
        <w:tc>
          <w:tcPr>
            <w:tcW w:w="270" w:type="dxa"/>
          </w:tcPr>
          <w:p w14:paraId="642A0786" w14:textId="443E2965" w:rsidR="00C60210" w:rsidRPr="00F53EFF" w:rsidRDefault="00C60210" w:rsidP="009352FB">
            <w:pPr>
              <w:pStyle w:val="ListParagraph"/>
              <w:ind w:left="0"/>
              <w:rPr>
                <w:color w:val="auto"/>
                <w:sz w:val="16"/>
                <w:szCs w:val="16"/>
              </w:rPr>
            </w:pPr>
            <w:r>
              <w:rPr>
                <w:color w:val="auto"/>
                <w:sz w:val="16"/>
                <w:szCs w:val="16"/>
              </w:rPr>
              <w:t>18</w:t>
            </w:r>
          </w:p>
        </w:tc>
        <w:tc>
          <w:tcPr>
            <w:tcW w:w="1399" w:type="dxa"/>
          </w:tcPr>
          <w:p w14:paraId="6C53928C" w14:textId="4D58D682" w:rsidR="00C60210" w:rsidRPr="00F53EFF" w:rsidRDefault="00C60210" w:rsidP="009352FB">
            <w:pPr>
              <w:pStyle w:val="ListParagraph"/>
              <w:ind w:left="0"/>
              <w:rPr>
                <w:color w:val="auto"/>
                <w:sz w:val="16"/>
                <w:szCs w:val="16"/>
              </w:rPr>
            </w:pPr>
            <w:r w:rsidRPr="00F53EFF">
              <w:rPr>
                <w:color w:val="auto"/>
                <w:sz w:val="16"/>
                <w:szCs w:val="16"/>
              </w:rPr>
              <w:t xml:space="preserve">Jim </w:t>
            </w:r>
            <w:proofErr w:type="spellStart"/>
            <w:r w:rsidRPr="00F53EFF">
              <w:rPr>
                <w:color w:val="auto"/>
                <w:sz w:val="16"/>
                <w:szCs w:val="16"/>
              </w:rPr>
              <w:t>Malley</w:t>
            </w:r>
            <w:proofErr w:type="spellEnd"/>
          </w:p>
        </w:tc>
        <w:tc>
          <w:tcPr>
            <w:tcW w:w="524" w:type="dxa"/>
            <w:shd w:val="clear" w:color="auto" w:fill="auto"/>
          </w:tcPr>
          <w:p w14:paraId="5D29EA50"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2C0ED6CE" w14:textId="77777777" w:rsidR="00C60210" w:rsidRDefault="00C60210" w:rsidP="00B023B0">
            <w:pPr>
              <w:pStyle w:val="ListParagraph"/>
              <w:ind w:left="0"/>
              <w:jc w:val="center"/>
              <w:rPr>
                <w:rFonts w:eastAsia="Times New Roman"/>
                <w:color w:val="auto"/>
                <w:sz w:val="16"/>
                <w:szCs w:val="16"/>
              </w:rPr>
            </w:pPr>
          </w:p>
        </w:tc>
        <w:tc>
          <w:tcPr>
            <w:tcW w:w="418" w:type="dxa"/>
            <w:shd w:val="clear" w:color="auto" w:fill="auto"/>
          </w:tcPr>
          <w:p w14:paraId="50536B36"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2B44D04F"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9F82A70"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1080C5F6" w14:textId="77777777" w:rsidR="00C60210" w:rsidRDefault="00C60210" w:rsidP="00B023B0">
            <w:pPr>
              <w:pStyle w:val="ListParagraph"/>
              <w:ind w:left="0"/>
              <w:jc w:val="center"/>
              <w:rPr>
                <w:rFonts w:eastAsia="Times New Roman"/>
                <w:color w:val="auto"/>
                <w:sz w:val="16"/>
                <w:szCs w:val="16"/>
              </w:rPr>
            </w:pPr>
          </w:p>
        </w:tc>
        <w:tc>
          <w:tcPr>
            <w:tcW w:w="433" w:type="dxa"/>
            <w:shd w:val="clear" w:color="auto" w:fill="auto"/>
          </w:tcPr>
          <w:p w14:paraId="3737157B"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573FE27A"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48E05782" w14:textId="31BF50B4" w:rsidR="00C60210" w:rsidRPr="00B80F8D"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601" w:type="dxa"/>
          </w:tcPr>
          <w:p w14:paraId="6189F35C"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044A0829"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2727CA6A"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3C8CFCDB" w14:textId="77777777" w:rsidR="00C60210" w:rsidRPr="00B80F8D" w:rsidRDefault="00C60210" w:rsidP="00B023B0">
            <w:pPr>
              <w:pStyle w:val="ListParagraph"/>
              <w:ind w:left="0"/>
              <w:jc w:val="center"/>
              <w:rPr>
                <w:rFonts w:eastAsia="Times New Roman"/>
                <w:color w:val="auto"/>
                <w:sz w:val="16"/>
                <w:szCs w:val="16"/>
              </w:rPr>
            </w:pPr>
          </w:p>
        </w:tc>
      </w:tr>
      <w:tr w:rsidR="00C60210" w14:paraId="07A0F806" w14:textId="77777777" w:rsidTr="00C60210">
        <w:tc>
          <w:tcPr>
            <w:tcW w:w="270" w:type="dxa"/>
          </w:tcPr>
          <w:p w14:paraId="43445F0F" w14:textId="3465B4A2" w:rsidR="00C60210" w:rsidRPr="00A46FD8" w:rsidRDefault="00C60210" w:rsidP="009352FB">
            <w:pPr>
              <w:pStyle w:val="ListParagraph"/>
              <w:ind w:left="0"/>
              <w:rPr>
                <w:color w:val="auto"/>
                <w:sz w:val="16"/>
                <w:szCs w:val="16"/>
              </w:rPr>
            </w:pPr>
            <w:r>
              <w:rPr>
                <w:color w:val="auto"/>
                <w:sz w:val="16"/>
                <w:szCs w:val="16"/>
              </w:rPr>
              <w:t>19</w:t>
            </w:r>
          </w:p>
        </w:tc>
        <w:tc>
          <w:tcPr>
            <w:tcW w:w="1399" w:type="dxa"/>
          </w:tcPr>
          <w:p w14:paraId="61E74B52" w14:textId="3B6F98C4" w:rsidR="00C60210" w:rsidRPr="00A46FD8" w:rsidRDefault="00C60210" w:rsidP="009352FB">
            <w:pPr>
              <w:pStyle w:val="ListParagraph"/>
              <w:ind w:left="0"/>
              <w:rPr>
                <w:color w:val="auto"/>
                <w:sz w:val="16"/>
                <w:szCs w:val="16"/>
              </w:rPr>
            </w:pPr>
            <w:r w:rsidRPr="00A46FD8">
              <w:rPr>
                <w:color w:val="auto"/>
                <w:sz w:val="16"/>
                <w:szCs w:val="16"/>
              </w:rPr>
              <w:t>H. Harris</w:t>
            </w:r>
          </w:p>
        </w:tc>
        <w:tc>
          <w:tcPr>
            <w:tcW w:w="524" w:type="dxa"/>
            <w:shd w:val="clear" w:color="auto" w:fill="auto"/>
          </w:tcPr>
          <w:p w14:paraId="0141730B" w14:textId="3B07221E"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21" w:type="dxa"/>
            <w:shd w:val="clear" w:color="auto" w:fill="auto"/>
          </w:tcPr>
          <w:p w14:paraId="46E70FD6" w14:textId="77777777" w:rsidR="00C60210" w:rsidRDefault="00C60210" w:rsidP="00B023B0">
            <w:pPr>
              <w:pStyle w:val="ListParagraph"/>
              <w:ind w:left="0"/>
              <w:jc w:val="center"/>
              <w:rPr>
                <w:rFonts w:eastAsia="Times New Roman"/>
                <w:color w:val="auto"/>
                <w:sz w:val="16"/>
                <w:szCs w:val="16"/>
              </w:rPr>
            </w:pPr>
          </w:p>
        </w:tc>
        <w:tc>
          <w:tcPr>
            <w:tcW w:w="418" w:type="dxa"/>
            <w:shd w:val="clear" w:color="auto" w:fill="auto"/>
          </w:tcPr>
          <w:p w14:paraId="2957705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1A7D989E"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5F54A529"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4D5105D6" w14:textId="4E30A3C2"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3" w:type="dxa"/>
            <w:shd w:val="clear" w:color="auto" w:fill="auto"/>
          </w:tcPr>
          <w:p w14:paraId="3859CAD2"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67C6993A"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48F13616" w14:textId="77777777" w:rsidR="00C60210" w:rsidRDefault="00C60210" w:rsidP="00B023B0">
            <w:pPr>
              <w:pStyle w:val="ListParagraph"/>
              <w:ind w:left="0"/>
              <w:jc w:val="center"/>
              <w:rPr>
                <w:rFonts w:eastAsia="Times New Roman"/>
                <w:color w:val="auto"/>
                <w:sz w:val="16"/>
                <w:szCs w:val="16"/>
              </w:rPr>
            </w:pPr>
          </w:p>
        </w:tc>
        <w:tc>
          <w:tcPr>
            <w:tcW w:w="601" w:type="dxa"/>
          </w:tcPr>
          <w:p w14:paraId="68B4D909"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7CF70F73"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2D189F2C"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249F2025" w14:textId="77777777" w:rsidR="00C60210" w:rsidRPr="00B80F8D" w:rsidRDefault="00C60210" w:rsidP="00B023B0">
            <w:pPr>
              <w:pStyle w:val="ListParagraph"/>
              <w:ind w:left="0"/>
              <w:jc w:val="center"/>
              <w:rPr>
                <w:rFonts w:eastAsia="Times New Roman"/>
                <w:color w:val="auto"/>
                <w:sz w:val="16"/>
                <w:szCs w:val="16"/>
              </w:rPr>
            </w:pPr>
          </w:p>
        </w:tc>
      </w:tr>
      <w:tr w:rsidR="00C60210" w14:paraId="02AB8DC1" w14:textId="77777777" w:rsidTr="00C60210">
        <w:tc>
          <w:tcPr>
            <w:tcW w:w="270" w:type="dxa"/>
          </w:tcPr>
          <w:p w14:paraId="5A3827C0" w14:textId="3CCF763B" w:rsidR="00C60210" w:rsidRPr="00A46FD8" w:rsidRDefault="00C60210" w:rsidP="009352FB">
            <w:pPr>
              <w:pStyle w:val="ListParagraph"/>
              <w:ind w:left="0"/>
              <w:rPr>
                <w:color w:val="auto"/>
                <w:sz w:val="16"/>
                <w:szCs w:val="16"/>
              </w:rPr>
            </w:pPr>
            <w:r>
              <w:rPr>
                <w:color w:val="auto"/>
                <w:sz w:val="16"/>
                <w:szCs w:val="16"/>
              </w:rPr>
              <w:t>20</w:t>
            </w:r>
          </w:p>
        </w:tc>
        <w:tc>
          <w:tcPr>
            <w:tcW w:w="1399" w:type="dxa"/>
          </w:tcPr>
          <w:p w14:paraId="0052499C" w14:textId="30FFA3B5" w:rsidR="00C60210" w:rsidRPr="00A46FD8" w:rsidRDefault="00C60210" w:rsidP="009352FB">
            <w:pPr>
              <w:pStyle w:val="ListParagraph"/>
              <w:ind w:left="0"/>
              <w:rPr>
                <w:color w:val="auto"/>
                <w:sz w:val="16"/>
                <w:szCs w:val="16"/>
              </w:rPr>
            </w:pPr>
            <w:r w:rsidRPr="00A46FD8">
              <w:rPr>
                <w:color w:val="auto"/>
                <w:sz w:val="16"/>
                <w:szCs w:val="16"/>
              </w:rPr>
              <w:t xml:space="preserve">Bob </w:t>
            </w:r>
            <w:proofErr w:type="spellStart"/>
            <w:r w:rsidRPr="00A46FD8">
              <w:rPr>
                <w:color w:val="auto"/>
                <w:sz w:val="16"/>
                <w:szCs w:val="16"/>
              </w:rPr>
              <w:t>Peckelnicky</w:t>
            </w:r>
            <w:proofErr w:type="spellEnd"/>
          </w:p>
        </w:tc>
        <w:tc>
          <w:tcPr>
            <w:tcW w:w="524" w:type="dxa"/>
            <w:shd w:val="clear" w:color="auto" w:fill="auto"/>
          </w:tcPr>
          <w:p w14:paraId="6FDE9878" w14:textId="67D79249"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21" w:type="dxa"/>
            <w:shd w:val="clear" w:color="auto" w:fill="auto"/>
          </w:tcPr>
          <w:p w14:paraId="498C39A4" w14:textId="5413F69A"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238C2F2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53F9DE8F"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33DBE34D"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15ABC22A" w14:textId="77777777" w:rsidR="00C60210" w:rsidRDefault="00C60210" w:rsidP="00B023B0">
            <w:pPr>
              <w:pStyle w:val="ListParagraph"/>
              <w:ind w:left="0"/>
              <w:jc w:val="center"/>
              <w:rPr>
                <w:rFonts w:eastAsia="Times New Roman"/>
                <w:color w:val="auto"/>
                <w:sz w:val="16"/>
                <w:szCs w:val="16"/>
              </w:rPr>
            </w:pPr>
          </w:p>
        </w:tc>
        <w:tc>
          <w:tcPr>
            <w:tcW w:w="433" w:type="dxa"/>
            <w:shd w:val="clear" w:color="auto" w:fill="auto"/>
          </w:tcPr>
          <w:p w14:paraId="794479C8"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5300D428"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61D7EEF3" w14:textId="77777777" w:rsidR="00C60210" w:rsidRDefault="00C60210" w:rsidP="00B023B0">
            <w:pPr>
              <w:pStyle w:val="ListParagraph"/>
              <w:ind w:left="0"/>
              <w:jc w:val="center"/>
              <w:rPr>
                <w:rFonts w:eastAsia="Times New Roman"/>
                <w:color w:val="auto"/>
                <w:sz w:val="16"/>
                <w:szCs w:val="16"/>
              </w:rPr>
            </w:pPr>
          </w:p>
        </w:tc>
        <w:tc>
          <w:tcPr>
            <w:tcW w:w="601" w:type="dxa"/>
          </w:tcPr>
          <w:p w14:paraId="33F6DA1D"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201A4B5A"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2BC973BE"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6A6A14C4" w14:textId="77777777" w:rsidR="00C60210" w:rsidRPr="00B80F8D" w:rsidRDefault="00C60210" w:rsidP="00B023B0">
            <w:pPr>
              <w:pStyle w:val="ListParagraph"/>
              <w:ind w:left="0"/>
              <w:jc w:val="center"/>
              <w:rPr>
                <w:rFonts w:eastAsia="Times New Roman"/>
                <w:color w:val="auto"/>
                <w:sz w:val="16"/>
                <w:szCs w:val="16"/>
              </w:rPr>
            </w:pPr>
          </w:p>
        </w:tc>
      </w:tr>
      <w:tr w:rsidR="00C60210" w14:paraId="1C243F06" w14:textId="77777777" w:rsidTr="00C60210">
        <w:tc>
          <w:tcPr>
            <w:tcW w:w="270" w:type="dxa"/>
          </w:tcPr>
          <w:p w14:paraId="0CC61D1F" w14:textId="7DF784EE" w:rsidR="00C60210" w:rsidRDefault="00C60210" w:rsidP="009352FB">
            <w:pPr>
              <w:pStyle w:val="ListParagraph"/>
              <w:ind w:left="0"/>
              <w:rPr>
                <w:color w:val="auto"/>
                <w:sz w:val="16"/>
                <w:szCs w:val="16"/>
              </w:rPr>
            </w:pPr>
            <w:r>
              <w:rPr>
                <w:color w:val="auto"/>
                <w:sz w:val="16"/>
                <w:szCs w:val="16"/>
              </w:rPr>
              <w:t>21</w:t>
            </w:r>
          </w:p>
        </w:tc>
        <w:tc>
          <w:tcPr>
            <w:tcW w:w="1399" w:type="dxa"/>
          </w:tcPr>
          <w:p w14:paraId="5649CFB0" w14:textId="3759D827" w:rsidR="00C60210" w:rsidRPr="00A46FD8" w:rsidRDefault="00C60210" w:rsidP="009352FB">
            <w:pPr>
              <w:pStyle w:val="ListParagraph"/>
              <w:ind w:left="0"/>
              <w:rPr>
                <w:color w:val="auto"/>
                <w:sz w:val="16"/>
                <w:szCs w:val="16"/>
              </w:rPr>
            </w:pPr>
            <w:r>
              <w:rPr>
                <w:color w:val="auto"/>
                <w:sz w:val="16"/>
                <w:szCs w:val="16"/>
              </w:rPr>
              <w:t xml:space="preserve">Glenn </w:t>
            </w:r>
            <w:proofErr w:type="spellStart"/>
            <w:r>
              <w:rPr>
                <w:color w:val="auto"/>
                <w:sz w:val="16"/>
                <w:szCs w:val="16"/>
              </w:rPr>
              <w:t>Rix</w:t>
            </w:r>
            <w:proofErr w:type="spellEnd"/>
          </w:p>
        </w:tc>
        <w:tc>
          <w:tcPr>
            <w:tcW w:w="524" w:type="dxa"/>
            <w:shd w:val="clear" w:color="auto" w:fill="auto"/>
          </w:tcPr>
          <w:p w14:paraId="68B17983"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7B8F89FA" w14:textId="75C5F108"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4CAD3188"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2B521609"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72412C4"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DF0A539" w14:textId="77777777" w:rsidR="00C60210" w:rsidRDefault="00C60210" w:rsidP="00B023B0">
            <w:pPr>
              <w:pStyle w:val="ListParagraph"/>
              <w:ind w:left="0"/>
              <w:jc w:val="center"/>
              <w:rPr>
                <w:rFonts w:eastAsia="Times New Roman"/>
                <w:color w:val="auto"/>
                <w:sz w:val="16"/>
                <w:szCs w:val="16"/>
              </w:rPr>
            </w:pPr>
          </w:p>
        </w:tc>
        <w:tc>
          <w:tcPr>
            <w:tcW w:w="433" w:type="dxa"/>
            <w:shd w:val="clear" w:color="auto" w:fill="auto"/>
          </w:tcPr>
          <w:p w14:paraId="63FF4223"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52992F07" w14:textId="45BCB4F2"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4" w:type="dxa"/>
            <w:shd w:val="clear" w:color="auto" w:fill="auto"/>
          </w:tcPr>
          <w:p w14:paraId="59ADF21D" w14:textId="77777777" w:rsidR="00C60210" w:rsidRDefault="00C60210" w:rsidP="00B023B0">
            <w:pPr>
              <w:pStyle w:val="ListParagraph"/>
              <w:ind w:left="0"/>
              <w:jc w:val="center"/>
              <w:rPr>
                <w:rFonts w:eastAsia="Times New Roman"/>
                <w:color w:val="auto"/>
                <w:sz w:val="16"/>
                <w:szCs w:val="16"/>
              </w:rPr>
            </w:pPr>
          </w:p>
        </w:tc>
        <w:tc>
          <w:tcPr>
            <w:tcW w:w="601" w:type="dxa"/>
          </w:tcPr>
          <w:p w14:paraId="012E22D2"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61FA956C"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654346D8"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6101C660" w14:textId="77777777" w:rsidR="00C60210" w:rsidRPr="00B80F8D" w:rsidRDefault="00C60210" w:rsidP="00B023B0">
            <w:pPr>
              <w:pStyle w:val="ListParagraph"/>
              <w:ind w:left="0"/>
              <w:jc w:val="center"/>
              <w:rPr>
                <w:rFonts w:eastAsia="Times New Roman"/>
                <w:color w:val="auto"/>
                <w:sz w:val="16"/>
                <w:szCs w:val="16"/>
              </w:rPr>
            </w:pPr>
          </w:p>
        </w:tc>
      </w:tr>
      <w:tr w:rsidR="00C60210" w14:paraId="5991F674" w14:textId="77777777" w:rsidTr="00C60210">
        <w:tc>
          <w:tcPr>
            <w:tcW w:w="270" w:type="dxa"/>
          </w:tcPr>
          <w:p w14:paraId="749DDD3F" w14:textId="1BB393F3" w:rsidR="00C60210" w:rsidRDefault="00C60210" w:rsidP="009352FB">
            <w:pPr>
              <w:pStyle w:val="ListParagraph"/>
              <w:ind w:left="0"/>
              <w:rPr>
                <w:color w:val="auto"/>
                <w:sz w:val="16"/>
                <w:szCs w:val="16"/>
              </w:rPr>
            </w:pPr>
            <w:r>
              <w:rPr>
                <w:color w:val="auto"/>
                <w:sz w:val="16"/>
                <w:szCs w:val="16"/>
              </w:rPr>
              <w:t>22</w:t>
            </w:r>
          </w:p>
        </w:tc>
        <w:tc>
          <w:tcPr>
            <w:tcW w:w="1399" w:type="dxa"/>
          </w:tcPr>
          <w:p w14:paraId="7A33B336" w14:textId="2757F6A5" w:rsidR="00C60210" w:rsidRPr="00A46FD8" w:rsidRDefault="00C60210" w:rsidP="009352FB">
            <w:pPr>
              <w:pStyle w:val="ListParagraph"/>
              <w:ind w:left="0"/>
              <w:rPr>
                <w:color w:val="auto"/>
                <w:sz w:val="16"/>
                <w:szCs w:val="16"/>
              </w:rPr>
            </w:pPr>
            <w:r>
              <w:rPr>
                <w:color w:val="auto"/>
                <w:sz w:val="16"/>
                <w:szCs w:val="16"/>
              </w:rPr>
              <w:t xml:space="preserve">Joe </w:t>
            </w:r>
            <w:proofErr w:type="spellStart"/>
            <w:r>
              <w:rPr>
                <w:color w:val="auto"/>
                <w:sz w:val="16"/>
                <w:szCs w:val="16"/>
              </w:rPr>
              <w:t>Cibor</w:t>
            </w:r>
            <w:proofErr w:type="spellEnd"/>
          </w:p>
        </w:tc>
        <w:tc>
          <w:tcPr>
            <w:tcW w:w="524" w:type="dxa"/>
            <w:shd w:val="clear" w:color="auto" w:fill="auto"/>
          </w:tcPr>
          <w:p w14:paraId="2C6F2650"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3F1DA31B" w14:textId="7F7FF062"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18" w:type="dxa"/>
            <w:shd w:val="clear" w:color="auto" w:fill="auto"/>
          </w:tcPr>
          <w:p w14:paraId="6F0706B1"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7B98A3DE"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29D36752"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2E2F8F61" w14:textId="77777777" w:rsidR="00C60210" w:rsidRDefault="00C60210" w:rsidP="00B023B0">
            <w:pPr>
              <w:pStyle w:val="ListParagraph"/>
              <w:ind w:left="0"/>
              <w:jc w:val="center"/>
              <w:rPr>
                <w:rFonts w:eastAsia="Times New Roman"/>
                <w:color w:val="auto"/>
                <w:sz w:val="16"/>
                <w:szCs w:val="16"/>
              </w:rPr>
            </w:pPr>
          </w:p>
        </w:tc>
        <w:tc>
          <w:tcPr>
            <w:tcW w:w="433" w:type="dxa"/>
            <w:shd w:val="clear" w:color="auto" w:fill="auto"/>
          </w:tcPr>
          <w:p w14:paraId="719C46DD"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13578932" w14:textId="5D396FB9"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4" w:type="dxa"/>
            <w:shd w:val="clear" w:color="auto" w:fill="auto"/>
          </w:tcPr>
          <w:p w14:paraId="2036EED9" w14:textId="77777777" w:rsidR="00C60210" w:rsidRDefault="00C60210" w:rsidP="00B023B0">
            <w:pPr>
              <w:pStyle w:val="ListParagraph"/>
              <w:ind w:left="0"/>
              <w:jc w:val="center"/>
              <w:rPr>
                <w:rFonts w:eastAsia="Times New Roman"/>
                <w:color w:val="auto"/>
                <w:sz w:val="16"/>
                <w:szCs w:val="16"/>
              </w:rPr>
            </w:pPr>
          </w:p>
        </w:tc>
        <w:tc>
          <w:tcPr>
            <w:tcW w:w="601" w:type="dxa"/>
          </w:tcPr>
          <w:p w14:paraId="7675D0B2"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20D44303"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0A1B97CB"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5F9B0815" w14:textId="77777777" w:rsidR="00C60210" w:rsidRPr="00B80F8D" w:rsidRDefault="00C60210" w:rsidP="00B023B0">
            <w:pPr>
              <w:pStyle w:val="ListParagraph"/>
              <w:ind w:left="0"/>
              <w:jc w:val="center"/>
              <w:rPr>
                <w:rFonts w:eastAsia="Times New Roman"/>
                <w:color w:val="auto"/>
                <w:sz w:val="16"/>
                <w:szCs w:val="16"/>
              </w:rPr>
            </w:pPr>
          </w:p>
        </w:tc>
      </w:tr>
      <w:tr w:rsidR="00C60210" w14:paraId="4E31842B" w14:textId="77777777" w:rsidTr="00C60210">
        <w:tc>
          <w:tcPr>
            <w:tcW w:w="270" w:type="dxa"/>
          </w:tcPr>
          <w:p w14:paraId="4632B4DD" w14:textId="533FA3EC" w:rsidR="00C60210" w:rsidRDefault="00C60210" w:rsidP="009352FB">
            <w:pPr>
              <w:pStyle w:val="ListParagraph"/>
              <w:ind w:left="0"/>
              <w:rPr>
                <w:color w:val="auto"/>
                <w:sz w:val="16"/>
                <w:szCs w:val="16"/>
              </w:rPr>
            </w:pPr>
            <w:r>
              <w:rPr>
                <w:color w:val="auto"/>
                <w:sz w:val="16"/>
                <w:szCs w:val="16"/>
              </w:rPr>
              <w:t>23</w:t>
            </w:r>
          </w:p>
        </w:tc>
        <w:tc>
          <w:tcPr>
            <w:tcW w:w="1399" w:type="dxa"/>
          </w:tcPr>
          <w:p w14:paraId="6E2623BC" w14:textId="673DBAC3" w:rsidR="00C60210" w:rsidRPr="00A46FD8" w:rsidRDefault="00C60210" w:rsidP="009352FB">
            <w:pPr>
              <w:pStyle w:val="ListParagraph"/>
              <w:ind w:left="0"/>
              <w:rPr>
                <w:color w:val="auto"/>
                <w:sz w:val="16"/>
                <w:szCs w:val="16"/>
              </w:rPr>
            </w:pPr>
            <w:r>
              <w:rPr>
                <w:color w:val="auto"/>
                <w:sz w:val="16"/>
                <w:szCs w:val="16"/>
              </w:rPr>
              <w:t>Jeff Keaton</w:t>
            </w:r>
          </w:p>
        </w:tc>
        <w:tc>
          <w:tcPr>
            <w:tcW w:w="524" w:type="dxa"/>
            <w:shd w:val="clear" w:color="auto" w:fill="auto"/>
          </w:tcPr>
          <w:p w14:paraId="4835CAC6" w14:textId="77777777" w:rsidR="00C60210" w:rsidRDefault="00C60210" w:rsidP="00B023B0">
            <w:pPr>
              <w:pStyle w:val="ListParagraph"/>
              <w:ind w:left="0"/>
              <w:jc w:val="center"/>
              <w:rPr>
                <w:rFonts w:eastAsia="Times New Roman"/>
                <w:color w:val="auto"/>
                <w:sz w:val="16"/>
                <w:szCs w:val="16"/>
              </w:rPr>
            </w:pPr>
          </w:p>
        </w:tc>
        <w:tc>
          <w:tcPr>
            <w:tcW w:w="421" w:type="dxa"/>
            <w:shd w:val="clear" w:color="auto" w:fill="auto"/>
          </w:tcPr>
          <w:p w14:paraId="52B0E1EC" w14:textId="77777777" w:rsidR="00C60210" w:rsidRDefault="00C60210" w:rsidP="00B023B0">
            <w:pPr>
              <w:pStyle w:val="ListParagraph"/>
              <w:ind w:left="0"/>
              <w:jc w:val="center"/>
              <w:rPr>
                <w:rFonts w:eastAsia="Times New Roman"/>
                <w:color w:val="auto"/>
                <w:sz w:val="16"/>
                <w:szCs w:val="16"/>
              </w:rPr>
            </w:pPr>
          </w:p>
        </w:tc>
        <w:tc>
          <w:tcPr>
            <w:tcW w:w="418" w:type="dxa"/>
            <w:shd w:val="clear" w:color="auto" w:fill="auto"/>
          </w:tcPr>
          <w:p w14:paraId="66D80C53"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095DB415"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6AD23AA1" w14:textId="77777777" w:rsidR="00C60210" w:rsidRPr="00B80F8D" w:rsidRDefault="00C60210" w:rsidP="00B023B0">
            <w:pPr>
              <w:pStyle w:val="ListParagraph"/>
              <w:ind w:left="0"/>
              <w:jc w:val="center"/>
              <w:rPr>
                <w:rFonts w:eastAsia="Times New Roman"/>
                <w:color w:val="auto"/>
                <w:sz w:val="16"/>
                <w:szCs w:val="16"/>
              </w:rPr>
            </w:pPr>
          </w:p>
        </w:tc>
        <w:tc>
          <w:tcPr>
            <w:tcW w:w="406" w:type="dxa"/>
            <w:shd w:val="clear" w:color="auto" w:fill="auto"/>
          </w:tcPr>
          <w:p w14:paraId="1E202AC0" w14:textId="77777777" w:rsidR="00C60210" w:rsidRDefault="00C60210" w:rsidP="00B023B0">
            <w:pPr>
              <w:pStyle w:val="ListParagraph"/>
              <w:ind w:left="0"/>
              <w:jc w:val="center"/>
              <w:rPr>
                <w:rFonts w:eastAsia="Times New Roman"/>
                <w:color w:val="auto"/>
                <w:sz w:val="16"/>
                <w:szCs w:val="16"/>
              </w:rPr>
            </w:pPr>
          </w:p>
        </w:tc>
        <w:tc>
          <w:tcPr>
            <w:tcW w:w="433" w:type="dxa"/>
            <w:shd w:val="clear" w:color="auto" w:fill="auto"/>
          </w:tcPr>
          <w:p w14:paraId="5314CFC1" w14:textId="77777777" w:rsidR="00C60210" w:rsidRDefault="00C60210" w:rsidP="00B023B0">
            <w:pPr>
              <w:pStyle w:val="ListParagraph"/>
              <w:ind w:left="0"/>
              <w:jc w:val="center"/>
              <w:rPr>
                <w:rFonts w:eastAsia="Times New Roman"/>
                <w:color w:val="auto"/>
                <w:sz w:val="16"/>
                <w:szCs w:val="16"/>
              </w:rPr>
            </w:pPr>
          </w:p>
        </w:tc>
        <w:tc>
          <w:tcPr>
            <w:tcW w:w="434" w:type="dxa"/>
            <w:shd w:val="clear" w:color="auto" w:fill="auto"/>
          </w:tcPr>
          <w:p w14:paraId="60730E4E" w14:textId="4B807BFC" w:rsidR="00C60210" w:rsidRDefault="00C60210" w:rsidP="00B023B0">
            <w:pPr>
              <w:pStyle w:val="ListParagraph"/>
              <w:ind w:left="0"/>
              <w:jc w:val="center"/>
              <w:rPr>
                <w:rFonts w:eastAsia="Times New Roman"/>
                <w:color w:val="auto"/>
                <w:sz w:val="16"/>
                <w:szCs w:val="16"/>
              </w:rPr>
            </w:pPr>
            <w:proofErr w:type="gramStart"/>
            <w:r>
              <w:rPr>
                <w:rFonts w:eastAsia="Times New Roman"/>
                <w:color w:val="auto"/>
                <w:sz w:val="16"/>
                <w:szCs w:val="16"/>
              </w:rPr>
              <w:t>x</w:t>
            </w:r>
            <w:proofErr w:type="gramEnd"/>
          </w:p>
        </w:tc>
        <w:tc>
          <w:tcPr>
            <w:tcW w:w="434" w:type="dxa"/>
            <w:shd w:val="clear" w:color="auto" w:fill="auto"/>
          </w:tcPr>
          <w:p w14:paraId="38F8B575" w14:textId="77777777" w:rsidR="00C60210" w:rsidRDefault="00C60210" w:rsidP="00B023B0">
            <w:pPr>
              <w:pStyle w:val="ListParagraph"/>
              <w:ind w:left="0"/>
              <w:jc w:val="center"/>
              <w:rPr>
                <w:rFonts w:eastAsia="Times New Roman"/>
                <w:color w:val="auto"/>
                <w:sz w:val="16"/>
                <w:szCs w:val="16"/>
              </w:rPr>
            </w:pPr>
          </w:p>
        </w:tc>
        <w:tc>
          <w:tcPr>
            <w:tcW w:w="601" w:type="dxa"/>
          </w:tcPr>
          <w:p w14:paraId="38560B4B" w14:textId="77777777" w:rsidR="00C60210" w:rsidRPr="00B80F8D" w:rsidRDefault="00C60210" w:rsidP="00B023B0">
            <w:pPr>
              <w:pStyle w:val="ListParagraph"/>
              <w:ind w:left="0"/>
              <w:jc w:val="center"/>
              <w:rPr>
                <w:rFonts w:eastAsia="Times New Roman"/>
                <w:color w:val="auto"/>
                <w:sz w:val="16"/>
                <w:szCs w:val="16"/>
              </w:rPr>
            </w:pPr>
          </w:p>
        </w:tc>
        <w:tc>
          <w:tcPr>
            <w:tcW w:w="433" w:type="dxa"/>
          </w:tcPr>
          <w:p w14:paraId="57FC0227" w14:textId="77777777" w:rsidR="00C60210" w:rsidRPr="00B80F8D" w:rsidRDefault="00C60210" w:rsidP="00B023B0">
            <w:pPr>
              <w:pStyle w:val="ListParagraph"/>
              <w:ind w:left="0"/>
              <w:jc w:val="center"/>
              <w:rPr>
                <w:rFonts w:eastAsia="Times New Roman"/>
                <w:color w:val="auto"/>
                <w:sz w:val="16"/>
                <w:szCs w:val="16"/>
              </w:rPr>
            </w:pPr>
          </w:p>
        </w:tc>
        <w:tc>
          <w:tcPr>
            <w:tcW w:w="431" w:type="dxa"/>
          </w:tcPr>
          <w:p w14:paraId="79EB7E10" w14:textId="77777777" w:rsidR="00C60210" w:rsidRPr="00B80F8D" w:rsidRDefault="00C60210" w:rsidP="00B023B0">
            <w:pPr>
              <w:pStyle w:val="ListParagraph"/>
              <w:ind w:left="0"/>
              <w:jc w:val="center"/>
              <w:rPr>
                <w:rFonts w:eastAsia="Times New Roman"/>
                <w:color w:val="auto"/>
                <w:sz w:val="16"/>
                <w:szCs w:val="16"/>
              </w:rPr>
            </w:pPr>
          </w:p>
        </w:tc>
        <w:tc>
          <w:tcPr>
            <w:tcW w:w="406" w:type="dxa"/>
          </w:tcPr>
          <w:p w14:paraId="5A501B3B" w14:textId="77777777" w:rsidR="00C60210" w:rsidRPr="00B80F8D" w:rsidRDefault="00C60210" w:rsidP="00B023B0">
            <w:pPr>
              <w:pStyle w:val="ListParagraph"/>
              <w:ind w:left="0"/>
              <w:jc w:val="center"/>
              <w:rPr>
                <w:rFonts w:eastAsia="Times New Roman"/>
                <w:color w:val="auto"/>
                <w:sz w:val="16"/>
                <w:szCs w:val="16"/>
              </w:rPr>
            </w:pPr>
          </w:p>
        </w:tc>
      </w:tr>
      <w:tr w:rsidR="00C60210" w14:paraId="65CD076C" w14:textId="77777777" w:rsidTr="00C60210">
        <w:trPr>
          <w:trHeight w:val="53"/>
        </w:trPr>
        <w:tc>
          <w:tcPr>
            <w:tcW w:w="270" w:type="dxa"/>
            <w:shd w:val="clear" w:color="auto" w:fill="000000" w:themeFill="text1"/>
          </w:tcPr>
          <w:p w14:paraId="2667A7E0" w14:textId="77777777" w:rsidR="00C60210" w:rsidRPr="00C55FD6" w:rsidRDefault="00C60210" w:rsidP="009352FB">
            <w:pPr>
              <w:pStyle w:val="ListParagraph"/>
              <w:ind w:left="0"/>
              <w:rPr>
                <w:color w:val="auto"/>
                <w:sz w:val="4"/>
                <w:szCs w:val="4"/>
              </w:rPr>
            </w:pPr>
          </w:p>
        </w:tc>
        <w:tc>
          <w:tcPr>
            <w:tcW w:w="1399" w:type="dxa"/>
            <w:shd w:val="clear" w:color="auto" w:fill="000000" w:themeFill="text1"/>
          </w:tcPr>
          <w:p w14:paraId="5F7D4897" w14:textId="22515CF3" w:rsidR="00C60210" w:rsidRPr="00C55FD6" w:rsidRDefault="00C60210" w:rsidP="009352FB">
            <w:pPr>
              <w:pStyle w:val="ListParagraph"/>
              <w:ind w:left="0"/>
              <w:rPr>
                <w:color w:val="auto"/>
                <w:sz w:val="4"/>
                <w:szCs w:val="4"/>
              </w:rPr>
            </w:pPr>
          </w:p>
        </w:tc>
        <w:tc>
          <w:tcPr>
            <w:tcW w:w="524" w:type="dxa"/>
            <w:shd w:val="clear" w:color="auto" w:fill="000000" w:themeFill="text1"/>
          </w:tcPr>
          <w:p w14:paraId="07241AA5" w14:textId="77777777" w:rsidR="00C60210" w:rsidRPr="00C55FD6" w:rsidRDefault="00C60210" w:rsidP="00B023B0">
            <w:pPr>
              <w:pStyle w:val="ListParagraph"/>
              <w:ind w:left="0"/>
              <w:jc w:val="center"/>
              <w:rPr>
                <w:rFonts w:eastAsia="Times New Roman"/>
                <w:color w:val="auto"/>
                <w:sz w:val="4"/>
                <w:szCs w:val="4"/>
              </w:rPr>
            </w:pPr>
          </w:p>
        </w:tc>
        <w:tc>
          <w:tcPr>
            <w:tcW w:w="421" w:type="dxa"/>
            <w:shd w:val="clear" w:color="auto" w:fill="000000" w:themeFill="text1"/>
          </w:tcPr>
          <w:p w14:paraId="6456BEF1" w14:textId="26F7AFE8" w:rsidR="00C60210" w:rsidRPr="00C55FD6" w:rsidRDefault="00C60210" w:rsidP="00B023B0">
            <w:pPr>
              <w:pStyle w:val="ListParagraph"/>
              <w:ind w:left="0"/>
              <w:jc w:val="center"/>
              <w:rPr>
                <w:rFonts w:eastAsia="Times New Roman"/>
                <w:color w:val="auto"/>
                <w:sz w:val="4"/>
                <w:szCs w:val="4"/>
              </w:rPr>
            </w:pPr>
          </w:p>
        </w:tc>
        <w:tc>
          <w:tcPr>
            <w:tcW w:w="418" w:type="dxa"/>
            <w:shd w:val="clear" w:color="auto" w:fill="000000" w:themeFill="text1"/>
          </w:tcPr>
          <w:p w14:paraId="6EE80794" w14:textId="77777777" w:rsidR="00C60210" w:rsidRPr="00C55FD6" w:rsidRDefault="00C60210" w:rsidP="00B023B0">
            <w:pPr>
              <w:pStyle w:val="ListParagraph"/>
              <w:ind w:left="0"/>
              <w:jc w:val="center"/>
              <w:rPr>
                <w:rFonts w:eastAsia="Times New Roman"/>
                <w:color w:val="auto"/>
                <w:sz w:val="4"/>
                <w:szCs w:val="4"/>
              </w:rPr>
            </w:pPr>
          </w:p>
        </w:tc>
        <w:tc>
          <w:tcPr>
            <w:tcW w:w="406" w:type="dxa"/>
            <w:shd w:val="clear" w:color="auto" w:fill="000000" w:themeFill="text1"/>
          </w:tcPr>
          <w:p w14:paraId="5677A569" w14:textId="77777777" w:rsidR="00C60210" w:rsidRPr="00C55FD6" w:rsidRDefault="00C60210" w:rsidP="00B023B0">
            <w:pPr>
              <w:pStyle w:val="ListParagraph"/>
              <w:ind w:left="0"/>
              <w:jc w:val="center"/>
              <w:rPr>
                <w:rFonts w:eastAsia="Times New Roman"/>
                <w:color w:val="auto"/>
                <w:sz w:val="4"/>
                <w:szCs w:val="4"/>
              </w:rPr>
            </w:pPr>
          </w:p>
        </w:tc>
        <w:tc>
          <w:tcPr>
            <w:tcW w:w="406" w:type="dxa"/>
            <w:shd w:val="clear" w:color="auto" w:fill="000000" w:themeFill="text1"/>
          </w:tcPr>
          <w:p w14:paraId="08A7A9E0" w14:textId="77777777" w:rsidR="00C60210" w:rsidRPr="00C55FD6" w:rsidRDefault="00C60210" w:rsidP="00B023B0">
            <w:pPr>
              <w:pStyle w:val="ListParagraph"/>
              <w:ind w:left="0"/>
              <w:jc w:val="center"/>
              <w:rPr>
                <w:rFonts w:eastAsia="Times New Roman"/>
                <w:color w:val="auto"/>
                <w:sz w:val="4"/>
                <w:szCs w:val="4"/>
              </w:rPr>
            </w:pPr>
          </w:p>
        </w:tc>
        <w:tc>
          <w:tcPr>
            <w:tcW w:w="406" w:type="dxa"/>
            <w:shd w:val="clear" w:color="auto" w:fill="000000" w:themeFill="text1"/>
          </w:tcPr>
          <w:p w14:paraId="232CA74E" w14:textId="77777777" w:rsidR="00C60210" w:rsidRPr="00C55FD6" w:rsidRDefault="00C60210" w:rsidP="00B023B0">
            <w:pPr>
              <w:pStyle w:val="ListParagraph"/>
              <w:ind w:left="0"/>
              <w:jc w:val="center"/>
              <w:rPr>
                <w:rFonts w:eastAsia="Times New Roman"/>
                <w:color w:val="auto"/>
                <w:sz w:val="4"/>
                <w:szCs w:val="4"/>
              </w:rPr>
            </w:pPr>
          </w:p>
        </w:tc>
        <w:tc>
          <w:tcPr>
            <w:tcW w:w="433" w:type="dxa"/>
            <w:shd w:val="clear" w:color="auto" w:fill="000000" w:themeFill="text1"/>
          </w:tcPr>
          <w:p w14:paraId="031B2645" w14:textId="77777777" w:rsidR="00C60210" w:rsidRPr="00C55FD6" w:rsidRDefault="00C60210" w:rsidP="00B023B0">
            <w:pPr>
              <w:pStyle w:val="ListParagraph"/>
              <w:ind w:left="0"/>
              <w:jc w:val="center"/>
              <w:rPr>
                <w:rFonts w:eastAsia="Times New Roman"/>
                <w:color w:val="auto"/>
                <w:sz w:val="4"/>
                <w:szCs w:val="4"/>
              </w:rPr>
            </w:pPr>
          </w:p>
        </w:tc>
        <w:tc>
          <w:tcPr>
            <w:tcW w:w="434" w:type="dxa"/>
            <w:shd w:val="clear" w:color="auto" w:fill="000000" w:themeFill="text1"/>
          </w:tcPr>
          <w:p w14:paraId="4397CAC1" w14:textId="77777777" w:rsidR="00C60210" w:rsidRPr="00C55FD6" w:rsidRDefault="00C60210" w:rsidP="00B023B0">
            <w:pPr>
              <w:pStyle w:val="ListParagraph"/>
              <w:ind w:left="0"/>
              <w:jc w:val="center"/>
              <w:rPr>
                <w:rFonts w:eastAsia="Times New Roman"/>
                <w:color w:val="auto"/>
                <w:sz w:val="4"/>
                <w:szCs w:val="4"/>
              </w:rPr>
            </w:pPr>
          </w:p>
        </w:tc>
        <w:tc>
          <w:tcPr>
            <w:tcW w:w="434" w:type="dxa"/>
            <w:shd w:val="clear" w:color="auto" w:fill="000000" w:themeFill="text1"/>
          </w:tcPr>
          <w:p w14:paraId="314A35F8" w14:textId="77777777" w:rsidR="00C60210" w:rsidRPr="00C55FD6" w:rsidRDefault="00C60210" w:rsidP="00B023B0">
            <w:pPr>
              <w:pStyle w:val="ListParagraph"/>
              <w:ind w:left="0"/>
              <w:jc w:val="center"/>
              <w:rPr>
                <w:rFonts w:eastAsia="Times New Roman"/>
                <w:color w:val="auto"/>
                <w:sz w:val="4"/>
                <w:szCs w:val="4"/>
              </w:rPr>
            </w:pPr>
          </w:p>
        </w:tc>
        <w:tc>
          <w:tcPr>
            <w:tcW w:w="601" w:type="dxa"/>
            <w:shd w:val="clear" w:color="auto" w:fill="000000" w:themeFill="text1"/>
          </w:tcPr>
          <w:p w14:paraId="07052C23" w14:textId="77777777" w:rsidR="00C60210" w:rsidRPr="00C55FD6" w:rsidRDefault="00C60210" w:rsidP="00B023B0">
            <w:pPr>
              <w:pStyle w:val="ListParagraph"/>
              <w:ind w:left="0"/>
              <w:jc w:val="center"/>
              <w:rPr>
                <w:rFonts w:eastAsia="Times New Roman"/>
                <w:color w:val="auto"/>
                <w:sz w:val="4"/>
                <w:szCs w:val="4"/>
              </w:rPr>
            </w:pPr>
          </w:p>
        </w:tc>
        <w:tc>
          <w:tcPr>
            <w:tcW w:w="433" w:type="dxa"/>
            <w:shd w:val="clear" w:color="auto" w:fill="000000" w:themeFill="text1"/>
          </w:tcPr>
          <w:p w14:paraId="6C7AE14D" w14:textId="77777777" w:rsidR="00C60210" w:rsidRPr="00C55FD6" w:rsidRDefault="00C60210" w:rsidP="00B023B0">
            <w:pPr>
              <w:pStyle w:val="ListParagraph"/>
              <w:ind w:left="0"/>
              <w:jc w:val="center"/>
              <w:rPr>
                <w:rFonts w:eastAsia="Times New Roman"/>
                <w:color w:val="auto"/>
                <w:sz w:val="4"/>
                <w:szCs w:val="4"/>
              </w:rPr>
            </w:pPr>
          </w:p>
        </w:tc>
        <w:tc>
          <w:tcPr>
            <w:tcW w:w="431" w:type="dxa"/>
            <w:shd w:val="clear" w:color="auto" w:fill="000000" w:themeFill="text1"/>
          </w:tcPr>
          <w:p w14:paraId="412235B8" w14:textId="77777777" w:rsidR="00C60210" w:rsidRPr="00C55FD6" w:rsidRDefault="00C60210" w:rsidP="00B023B0">
            <w:pPr>
              <w:pStyle w:val="ListParagraph"/>
              <w:ind w:left="0"/>
              <w:jc w:val="center"/>
              <w:rPr>
                <w:rFonts w:eastAsia="Times New Roman"/>
                <w:color w:val="auto"/>
                <w:sz w:val="4"/>
                <w:szCs w:val="4"/>
              </w:rPr>
            </w:pPr>
          </w:p>
        </w:tc>
        <w:tc>
          <w:tcPr>
            <w:tcW w:w="406" w:type="dxa"/>
            <w:shd w:val="clear" w:color="auto" w:fill="000000" w:themeFill="text1"/>
          </w:tcPr>
          <w:p w14:paraId="5873994D" w14:textId="77777777" w:rsidR="00C60210" w:rsidRPr="00C55FD6" w:rsidRDefault="00C60210" w:rsidP="00B023B0">
            <w:pPr>
              <w:pStyle w:val="ListParagraph"/>
              <w:ind w:left="0"/>
              <w:jc w:val="center"/>
              <w:rPr>
                <w:rFonts w:eastAsia="Times New Roman"/>
                <w:color w:val="auto"/>
                <w:sz w:val="4"/>
                <w:szCs w:val="4"/>
              </w:rPr>
            </w:pPr>
          </w:p>
        </w:tc>
      </w:tr>
    </w:tbl>
    <w:p w14:paraId="23E4685B" w14:textId="77777777" w:rsidR="00B80F8D" w:rsidRDefault="00B80F8D" w:rsidP="00B80F8D">
      <w:pPr>
        <w:pStyle w:val="PlainText"/>
        <w:ind w:left="720"/>
        <w:rPr>
          <w:rFonts w:ascii="Times New Roman" w:hAnsi="Times New Roman" w:cs="Times New Roman"/>
          <w:b/>
        </w:rPr>
      </w:pPr>
    </w:p>
    <w:p w14:paraId="0C843012" w14:textId="77777777" w:rsidR="00870EF0" w:rsidRPr="0002302F" w:rsidRDefault="00870EF0" w:rsidP="00870EF0">
      <w:pPr>
        <w:pStyle w:val="PlainText"/>
        <w:numPr>
          <w:ilvl w:val="0"/>
          <w:numId w:val="3"/>
        </w:numPr>
        <w:rPr>
          <w:rFonts w:ascii="Times New Roman" w:hAnsi="Times New Roman" w:cs="Times New Roman"/>
        </w:rPr>
      </w:pPr>
      <w:r w:rsidRPr="0002302F">
        <w:rPr>
          <w:rFonts w:ascii="Times New Roman" w:hAnsi="Times New Roman" w:cs="Times New Roman"/>
        </w:rPr>
        <w:t xml:space="preserve">Phillip Line: The American Wood Council.  </w:t>
      </w:r>
    </w:p>
    <w:p w14:paraId="4634E12E" w14:textId="77777777" w:rsidR="00870EF0" w:rsidRPr="0002302F" w:rsidRDefault="00870EF0" w:rsidP="00870EF0">
      <w:pPr>
        <w:pStyle w:val="PlainText"/>
        <w:ind w:left="720"/>
        <w:rPr>
          <w:rFonts w:ascii="Times New Roman" w:hAnsi="Times New Roman" w:cs="Times New Roman"/>
        </w:rPr>
      </w:pPr>
    </w:p>
    <w:p w14:paraId="75AF75DA" w14:textId="4F77F07C" w:rsidR="00870EF0" w:rsidRPr="0002302F" w:rsidRDefault="00870EF0" w:rsidP="00870EF0">
      <w:pPr>
        <w:pStyle w:val="PlainText"/>
        <w:numPr>
          <w:ilvl w:val="0"/>
          <w:numId w:val="3"/>
        </w:numPr>
        <w:rPr>
          <w:rFonts w:ascii="Times New Roman" w:hAnsi="Times New Roman" w:cs="Times New Roman"/>
        </w:rPr>
      </w:pPr>
      <w:r w:rsidRPr="0002302F">
        <w:rPr>
          <w:rFonts w:ascii="Times New Roman" w:hAnsi="Times New Roman" w:cs="Times New Roman"/>
        </w:rPr>
        <w:t>Greg Kingsley</w:t>
      </w:r>
      <w:r w:rsidR="00E85BC3" w:rsidRPr="0002302F">
        <w:rPr>
          <w:rFonts w:ascii="Times New Roman" w:hAnsi="Times New Roman" w:cs="Times New Roman"/>
        </w:rPr>
        <w:t>:</w:t>
      </w:r>
      <w:r w:rsidRPr="0002302F">
        <w:rPr>
          <w:rFonts w:ascii="Times New Roman" w:hAnsi="Times New Roman" w:cs="Times New Roman"/>
        </w:rPr>
        <w:t xml:space="preserve"> </w:t>
      </w:r>
      <w:r w:rsidR="00E85BC3" w:rsidRPr="0002302F">
        <w:rPr>
          <w:rFonts w:ascii="Times New Roman" w:hAnsi="Times New Roman" w:cs="Times New Roman"/>
        </w:rPr>
        <w:t>S</w:t>
      </w:r>
      <w:r w:rsidRPr="0002302F">
        <w:rPr>
          <w:rFonts w:ascii="Times New Roman" w:hAnsi="Times New Roman" w:cs="Times New Roman"/>
        </w:rPr>
        <w:t>t</w:t>
      </w:r>
      <w:r w:rsidR="00E85BC3" w:rsidRPr="0002302F">
        <w:rPr>
          <w:rFonts w:ascii="Times New Roman" w:hAnsi="Times New Roman" w:cs="Times New Roman"/>
        </w:rPr>
        <w:t xml:space="preserve">ructural engineer </w:t>
      </w:r>
      <w:r w:rsidR="00E85BC3" w:rsidRPr="00C40C01">
        <w:rPr>
          <w:rFonts w:ascii="Times New Roman" w:hAnsi="Times New Roman" w:cs="Times New Roman"/>
        </w:rPr>
        <w:t xml:space="preserve">in Golden, CO; </w:t>
      </w:r>
      <w:r w:rsidRPr="00C40C01">
        <w:rPr>
          <w:rFonts w:ascii="Times New Roman" w:hAnsi="Times New Roman" w:cs="Times New Roman"/>
        </w:rPr>
        <w:t>masonry.</w:t>
      </w:r>
      <w:r w:rsidR="00C40C01" w:rsidRPr="00C40C01">
        <w:rPr>
          <w:rFonts w:ascii="Times New Roman" w:hAnsi="Times New Roman" w:cs="Times New Roman"/>
        </w:rPr>
        <w:t xml:space="preserve">  Dr. Gregory Kingsley is President and CEO of KL&amp;A Inc., Structural Engineers and Builders. Founded in 1994, KL&amp;A is a company of more than sixty structural engineers, steel detailers, and construction managers with four offices in Colorado and Wyoming. KL&amp;A is known for innovation in design and project delivery, and has been recognized consistently as one of the top 10 structural engineering firms to work for in the U.S</w:t>
      </w:r>
      <w:r w:rsidR="003A6F58">
        <w:rPr>
          <w:rFonts w:ascii="Times New Roman" w:hAnsi="Times New Roman" w:cs="Times New Roman"/>
        </w:rPr>
        <w:t>.</w:t>
      </w:r>
    </w:p>
    <w:p w14:paraId="67492BB9" w14:textId="77777777" w:rsidR="00870EF0" w:rsidRPr="0002302F" w:rsidRDefault="00870EF0" w:rsidP="00870EF0">
      <w:pPr>
        <w:pStyle w:val="ListParagraph"/>
        <w:rPr>
          <w:rFonts w:eastAsia="Times New Roman"/>
          <w:color w:val="auto"/>
        </w:rPr>
      </w:pPr>
    </w:p>
    <w:p w14:paraId="7D1F3809" w14:textId="2C77E405" w:rsidR="00870EF0" w:rsidRPr="0002302F" w:rsidRDefault="00870EF0" w:rsidP="00ED656F">
      <w:pPr>
        <w:pStyle w:val="ListParagraph"/>
        <w:numPr>
          <w:ilvl w:val="0"/>
          <w:numId w:val="3"/>
        </w:numPr>
        <w:rPr>
          <w:rFonts w:eastAsia="Times New Roman"/>
          <w:color w:val="auto"/>
        </w:rPr>
      </w:pPr>
      <w:r w:rsidRPr="0002302F">
        <w:rPr>
          <w:rFonts w:eastAsia="Times New Roman"/>
          <w:color w:val="auto"/>
        </w:rPr>
        <w:t xml:space="preserve">Bonnie Manley: </w:t>
      </w:r>
      <w:r w:rsidRPr="0002302F">
        <w:rPr>
          <w:color w:val="auto"/>
        </w:rPr>
        <w:t>Director of Construction Codes and Standards for the American Iron and Steel Institute (AISI)</w:t>
      </w:r>
      <w:r w:rsidR="0002302F">
        <w:rPr>
          <w:color w:val="auto"/>
        </w:rPr>
        <w:t>.</w:t>
      </w:r>
      <w:r w:rsidR="002F4FB6">
        <w:rPr>
          <w:color w:val="auto"/>
        </w:rPr>
        <w:t xml:space="preserve">  A member of the ASCE 7 committee.  </w:t>
      </w:r>
    </w:p>
    <w:p w14:paraId="31B5BDB0" w14:textId="77777777" w:rsidR="00870EF0" w:rsidRPr="0002302F" w:rsidRDefault="00870EF0" w:rsidP="00870EF0">
      <w:pPr>
        <w:pStyle w:val="ListParagraph"/>
        <w:rPr>
          <w:rFonts w:eastAsia="Times New Roman"/>
          <w:color w:val="auto"/>
        </w:rPr>
      </w:pPr>
    </w:p>
    <w:p w14:paraId="243ACBB3" w14:textId="65B699B4" w:rsidR="00E85BC3" w:rsidRPr="0002302F" w:rsidRDefault="00E85BC3" w:rsidP="00E85BC3">
      <w:pPr>
        <w:pStyle w:val="ListParagraph"/>
        <w:numPr>
          <w:ilvl w:val="0"/>
          <w:numId w:val="3"/>
        </w:numPr>
        <w:rPr>
          <w:color w:val="auto"/>
        </w:rPr>
      </w:pPr>
      <w:r w:rsidRPr="0002302F">
        <w:rPr>
          <w:color w:val="auto"/>
        </w:rPr>
        <w:t xml:space="preserve">Dr. Jack </w:t>
      </w:r>
      <w:proofErr w:type="spellStart"/>
      <w:r w:rsidRPr="0002302F">
        <w:rPr>
          <w:color w:val="auto"/>
        </w:rPr>
        <w:t>Moehle</w:t>
      </w:r>
      <w:proofErr w:type="spellEnd"/>
      <w:r w:rsidRPr="0002302F">
        <w:rPr>
          <w:color w:val="auto"/>
        </w:rPr>
        <w:t>:  Distinguished professor at Berk</w:t>
      </w:r>
      <w:r w:rsidR="00C40C01">
        <w:rPr>
          <w:color w:val="auto"/>
        </w:rPr>
        <w:t>e</w:t>
      </w:r>
      <w:r w:rsidRPr="0002302F">
        <w:rPr>
          <w:color w:val="auto"/>
        </w:rPr>
        <w:t>ley; current chair of ACI Building Code</w:t>
      </w:r>
      <w:proofErr w:type="gramStart"/>
      <w:r w:rsidRPr="0002302F">
        <w:rPr>
          <w:color w:val="auto"/>
        </w:rPr>
        <w:t>;</w:t>
      </w:r>
      <w:proofErr w:type="gramEnd"/>
      <w:r w:rsidRPr="0002302F">
        <w:rPr>
          <w:color w:val="auto"/>
        </w:rPr>
        <w:t xml:space="preserve"> numerous recognizance studies after EQ events.</w:t>
      </w:r>
      <w:r w:rsidR="00C40C01">
        <w:rPr>
          <w:color w:val="auto"/>
        </w:rPr>
        <w:t xml:space="preserve">  </w:t>
      </w:r>
      <w:r w:rsidR="00C40C01" w:rsidRPr="00C40C01">
        <w:rPr>
          <w:color w:val="auto"/>
        </w:rPr>
        <w:t xml:space="preserve">Professor </w:t>
      </w:r>
      <w:proofErr w:type="spellStart"/>
      <w:r w:rsidR="00C40C01" w:rsidRPr="00C40C01">
        <w:rPr>
          <w:color w:val="auto"/>
        </w:rPr>
        <w:t>Moehle's</w:t>
      </w:r>
      <w:proofErr w:type="spellEnd"/>
      <w:r w:rsidR="00C40C01" w:rsidRPr="00C40C01">
        <w:rPr>
          <w:color w:val="auto"/>
        </w:rPr>
        <w:t xml:space="preserve"> current research interests include design and analysis of structural systems, with an emphasis on earthquake engineering, reinforced concrete construction, new and existing buildings and infrastructure, and development of professional design guidance.</w:t>
      </w:r>
    </w:p>
    <w:p w14:paraId="7EA565CB" w14:textId="77777777" w:rsidR="00E85BC3" w:rsidRPr="0002302F" w:rsidRDefault="00E85BC3" w:rsidP="00E85BC3">
      <w:pPr>
        <w:pStyle w:val="ListParagraph"/>
        <w:rPr>
          <w:rFonts w:eastAsia="Times New Roman"/>
          <w:color w:val="auto"/>
        </w:rPr>
      </w:pPr>
    </w:p>
    <w:p w14:paraId="2A3F1FCC" w14:textId="2D76901D" w:rsidR="00ED656F" w:rsidRPr="0002302F" w:rsidRDefault="00ED656F" w:rsidP="00ED656F">
      <w:pPr>
        <w:pStyle w:val="ListParagraph"/>
        <w:numPr>
          <w:ilvl w:val="0"/>
          <w:numId w:val="3"/>
        </w:numPr>
        <w:rPr>
          <w:rFonts w:eastAsia="Times New Roman"/>
          <w:color w:val="auto"/>
        </w:rPr>
      </w:pPr>
      <w:r w:rsidRPr="0002302F">
        <w:rPr>
          <w:rFonts w:eastAsia="Times New Roman"/>
          <w:color w:val="auto"/>
        </w:rPr>
        <w:t xml:space="preserve">Gary Chock:  </w:t>
      </w:r>
      <w:r w:rsidR="00A3547B">
        <w:rPr>
          <w:rFonts w:eastAsia="Times New Roman"/>
          <w:color w:val="auto"/>
        </w:rPr>
        <w:t xml:space="preserve">A consultant in private practice.  </w:t>
      </w:r>
      <w:r w:rsidR="00C269CA" w:rsidRPr="0002302F">
        <w:rPr>
          <w:rFonts w:eastAsia="Times New Roman"/>
          <w:color w:val="auto"/>
        </w:rPr>
        <w:t>C</w:t>
      </w:r>
      <w:r w:rsidRPr="0002302F">
        <w:rPr>
          <w:rFonts w:eastAsia="Times New Roman"/>
          <w:color w:val="auto"/>
        </w:rPr>
        <w:t xml:space="preserve">hairman of the ASCE-7 tsunami </w:t>
      </w:r>
      <w:r w:rsidR="002F4FB6">
        <w:rPr>
          <w:rFonts w:eastAsia="Times New Roman"/>
          <w:color w:val="auto"/>
        </w:rPr>
        <w:t xml:space="preserve">chapter </w:t>
      </w:r>
      <w:r w:rsidRPr="0002302F">
        <w:rPr>
          <w:rFonts w:eastAsia="Times New Roman"/>
          <w:color w:val="auto"/>
        </w:rPr>
        <w:t xml:space="preserve">and </w:t>
      </w:r>
      <w:r w:rsidR="002F4FB6">
        <w:rPr>
          <w:rFonts w:eastAsia="Times New Roman"/>
          <w:color w:val="auto"/>
        </w:rPr>
        <w:t xml:space="preserve">a member of </w:t>
      </w:r>
      <w:proofErr w:type="gramStart"/>
      <w:r w:rsidR="002F4FB6">
        <w:rPr>
          <w:rFonts w:eastAsia="Times New Roman"/>
          <w:color w:val="auto"/>
        </w:rPr>
        <w:t xml:space="preserve">the </w:t>
      </w:r>
      <w:proofErr w:type="spellStart"/>
      <w:r w:rsidRPr="0002302F">
        <w:rPr>
          <w:rFonts w:eastAsia="Times New Roman"/>
          <w:color w:val="auto"/>
        </w:rPr>
        <w:t>the</w:t>
      </w:r>
      <w:proofErr w:type="spellEnd"/>
      <w:proofErr w:type="gramEnd"/>
      <w:r w:rsidRPr="0002302F">
        <w:rPr>
          <w:rFonts w:eastAsia="Times New Roman"/>
          <w:color w:val="auto"/>
        </w:rPr>
        <w:t xml:space="preserve"> </w:t>
      </w:r>
      <w:r w:rsidR="002F4FB6">
        <w:rPr>
          <w:rFonts w:eastAsia="Times New Roman"/>
          <w:color w:val="auto"/>
        </w:rPr>
        <w:t xml:space="preserve">ASCE7 </w:t>
      </w:r>
      <w:r w:rsidRPr="0002302F">
        <w:rPr>
          <w:rFonts w:eastAsia="Times New Roman"/>
          <w:color w:val="auto"/>
        </w:rPr>
        <w:t xml:space="preserve">Task Committee on </w:t>
      </w:r>
      <w:proofErr w:type="spellStart"/>
      <w:r w:rsidRPr="0002302F">
        <w:rPr>
          <w:rFonts w:eastAsia="Times New Roman"/>
          <w:color w:val="auto"/>
        </w:rPr>
        <w:t>WindLoads</w:t>
      </w:r>
      <w:proofErr w:type="spellEnd"/>
      <w:r w:rsidRPr="0002302F">
        <w:rPr>
          <w:rFonts w:eastAsia="Times New Roman"/>
          <w:color w:val="auto"/>
        </w:rPr>
        <w:t>.</w:t>
      </w:r>
      <w:r w:rsidR="00407679" w:rsidRPr="00407679">
        <w:rPr>
          <w:color w:val="auto"/>
        </w:rPr>
        <w:t xml:space="preserve"> </w:t>
      </w:r>
      <w:r w:rsidR="00407679">
        <w:rPr>
          <w:color w:val="auto"/>
        </w:rPr>
        <w:t xml:space="preserve">He </w:t>
      </w:r>
      <w:r w:rsidR="00407679" w:rsidRPr="00407679">
        <w:rPr>
          <w:rFonts w:eastAsia="Times New Roman"/>
          <w:color w:val="auto"/>
        </w:rPr>
        <w:t xml:space="preserve">is a member of the </w:t>
      </w:r>
      <w:r w:rsidR="00407679" w:rsidRPr="00407679">
        <w:rPr>
          <w:rFonts w:eastAsia="Times New Roman"/>
          <w:color w:val="auto"/>
        </w:rPr>
        <w:lastRenderedPageBreak/>
        <w:t xml:space="preserve">NIST-funded CSU Center for Risk-Based Community Resilience Planning.  </w:t>
      </w:r>
      <w:r w:rsidR="00407679">
        <w:rPr>
          <w:rFonts w:eastAsia="Times New Roman"/>
          <w:color w:val="auto"/>
        </w:rPr>
        <w:t xml:space="preserve">Bio:  </w:t>
      </w:r>
      <w:hyperlink r:id="rId10" w:history="1">
        <w:r w:rsidR="00A3547B" w:rsidRPr="00A3547B">
          <w:rPr>
            <w:rStyle w:val="Hyperlink"/>
            <w:rFonts w:eastAsia="Times New Roman"/>
          </w:rPr>
          <w:t>http://martinchock.com/gary-chock.asp</w:t>
        </w:r>
      </w:hyperlink>
    </w:p>
    <w:p w14:paraId="52B3A31C" w14:textId="77777777" w:rsidR="005E7FCC" w:rsidRPr="0002302F" w:rsidRDefault="00480314"/>
    <w:p w14:paraId="50854662" w14:textId="394760CB" w:rsidR="00ED656F" w:rsidRPr="0002302F" w:rsidRDefault="00ED656F" w:rsidP="00407679">
      <w:pPr>
        <w:pStyle w:val="ListParagraph"/>
        <w:numPr>
          <w:ilvl w:val="0"/>
          <w:numId w:val="3"/>
        </w:numPr>
        <w:rPr>
          <w:color w:val="auto"/>
        </w:rPr>
      </w:pPr>
      <w:r w:rsidRPr="0002302F">
        <w:rPr>
          <w:color w:val="auto"/>
        </w:rPr>
        <w:t xml:space="preserve">Bill </w:t>
      </w:r>
      <w:proofErr w:type="spellStart"/>
      <w:r w:rsidRPr="0002302F">
        <w:rPr>
          <w:color w:val="auto"/>
        </w:rPr>
        <w:t>Coulbourne</w:t>
      </w:r>
      <w:proofErr w:type="spellEnd"/>
      <w:r w:rsidRPr="0002302F">
        <w:rPr>
          <w:color w:val="auto"/>
        </w:rPr>
        <w:t xml:space="preserve">:  </w:t>
      </w:r>
      <w:r w:rsidR="00C269CA" w:rsidRPr="0002302F">
        <w:rPr>
          <w:color w:val="auto"/>
        </w:rPr>
        <w:t>Former Wind and Flood program director for ATC.</w:t>
      </w:r>
      <w:r w:rsidR="000606B5">
        <w:rPr>
          <w:color w:val="auto"/>
        </w:rPr>
        <w:t xml:space="preserve">  Now a consultant in private practice.  </w:t>
      </w:r>
      <w:r w:rsidR="002F4FB6">
        <w:rPr>
          <w:color w:val="auto"/>
        </w:rPr>
        <w:t xml:space="preserve">A member of three ASCE standard committees (ASCE 7, ad hoc performance based designed, and tornado EF scale).  </w:t>
      </w:r>
      <w:r w:rsidR="00407679">
        <w:rPr>
          <w:color w:val="auto"/>
        </w:rPr>
        <w:t xml:space="preserve">He </w:t>
      </w:r>
      <w:r w:rsidR="00407679" w:rsidRPr="00407679">
        <w:rPr>
          <w:color w:val="auto"/>
        </w:rPr>
        <w:t xml:space="preserve">is a member of the NIST-funded CSU Center for Risk-Based Community Resilience Planning. </w:t>
      </w:r>
      <w:r w:rsidR="00407679">
        <w:rPr>
          <w:color w:val="auto"/>
        </w:rPr>
        <w:t xml:space="preserve"> Bio:  </w:t>
      </w:r>
      <w:r w:rsidR="00407679" w:rsidRPr="00407679">
        <w:rPr>
          <w:color w:val="auto"/>
        </w:rPr>
        <w:t>http://resilience.colostate.edu/eap.shtml</w:t>
      </w:r>
    </w:p>
    <w:p w14:paraId="23E9F5F2" w14:textId="77777777" w:rsidR="00ED656F" w:rsidRPr="0002302F" w:rsidRDefault="00ED656F" w:rsidP="00ED656F"/>
    <w:p w14:paraId="28A31F8E" w14:textId="77777777" w:rsidR="006C28E8" w:rsidRDefault="00ED656F" w:rsidP="006C28E8">
      <w:pPr>
        <w:pStyle w:val="ListParagraph"/>
        <w:numPr>
          <w:ilvl w:val="0"/>
          <w:numId w:val="3"/>
        </w:numPr>
        <w:rPr>
          <w:color w:val="auto"/>
        </w:rPr>
      </w:pPr>
      <w:r w:rsidRPr="006C28E8">
        <w:rPr>
          <w:color w:val="auto"/>
        </w:rPr>
        <w:t>Chris Jones</w:t>
      </w:r>
      <w:r w:rsidR="00870EF0" w:rsidRPr="006C28E8">
        <w:rPr>
          <w:color w:val="auto"/>
        </w:rPr>
        <w:t>:</w:t>
      </w:r>
      <w:r w:rsidRPr="006C28E8">
        <w:rPr>
          <w:color w:val="auto"/>
        </w:rPr>
        <w:t> </w:t>
      </w:r>
      <w:r w:rsidR="00870EF0" w:rsidRPr="006C28E8">
        <w:rPr>
          <w:color w:val="auto"/>
        </w:rPr>
        <w:t>FEMA deployments</w:t>
      </w:r>
      <w:proofErr w:type="gramStart"/>
      <w:r w:rsidR="00870EF0" w:rsidRPr="006C28E8">
        <w:rPr>
          <w:color w:val="auto"/>
        </w:rPr>
        <w:t>;</w:t>
      </w:r>
      <w:proofErr w:type="gramEnd"/>
      <w:r w:rsidR="00870EF0" w:rsidRPr="006C28E8">
        <w:rPr>
          <w:color w:val="auto"/>
        </w:rPr>
        <w:t xml:space="preserve"> </w:t>
      </w:r>
      <w:r w:rsidRPr="006C28E8">
        <w:rPr>
          <w:color w:val="auto"/>
        </w:rPr>
        <w:t xml:space="preserve">involved with </w:t>
      </w:r>
      <w:r w:rsidR="00A3547B" w:rsidRPr="006C28E8">
        <w:rPr>
          <w:color w:val="auto"/>
        </w:rPr>
        <w:t xml:space="preserve">He is a consultant specializing in coastal flood hazard analysis and coastal building codes. He has been deployed after major hurricanes since 1995 as part of FEMA's Mitigation Assessment Teams, and he was a member of the ASCE team investigating 2009 tsunami damage on American Samoa.  He chairs the ASCE-24 Flood Resistant Design and Construction Standards Committee and chairs the ASCE 7 Flood Loads Task Committee. </w:t>
      </w:r>
      <w:r w:rsidR="00407679" w:rsidRPr="006C28E8">
        <w:rPr>
          <w:color w:val="auto"/>
        </w:rPr>
        <w:t xml:space="preserve"> He is a member of the NIST-funded CSU Center for Risk-Based Community Resilience Planning. </w:t>
      </w:r>
    </w:p>
    <w:p w14:paraId="7904FBC8" w14:textId="14FE567E" w:rsidR="00ED656F" w:rsidRPr="006C28E8" w:rsidRDefault="00407679" w:rsidP="006C28E8">
      <w:pPr>
        <w:pStyle w:val="ListParagraph"/>
        <w:rPr>
          <w:color w:val="auto"/>
        </w:rPr>
      </w:pPr>
      <w:r w:rsidRPr="006C28E8">
        <w:rPr>
          <w:color w:val="auto"/>
        </w:rPr>
        <w:t xml:space="preserve"> </w:t>
      </w:r>
    </w:p>
    <w:p w14:paraId="4F3C14C0" w14:textId="6745BB9F" w:rsidR="00ED656F" w:rsidRPr="0002302F" w:rsidRDefault="00ED656F" w:rsidP="00ED656F">
      <w:pPr>
        <w:pStyle w:val="ListParagraph"/>
        <w:numPr>
          <w:ilvl w:val="0"/>
          <w:numId w:val="3"/>
        </w:numPr>
        <w:rPr>
          <w:rStyle w:val="Hyperlink"/>
          <w:color w:val="auto"/>
          <w:u w:val="none"/>
        </w:rPr>
      </w:pPr>
      <w:r w:rsidRPr="0002302F">
        <w:rPr>
          <w:color w:val="auto"/>
        </w:rPr>
        <w:t xml:space="preserve">Dr. Anne Cope: </w:t>
      </w:r>
      <w:r w:rsidRPr="0002302F">
        <w:rPr>
          <w:rStyle w:val="Hyperlink"/>
          <w:color w:val="auto"/>
          <w:u w:val="none"/>
        </w:rPr>
        <w:t xml:space="preserve">research engineer at the </w:t>
      </w:r>
      <w:r w:rsidR="00A3547B" w:rsidRPr="00A3547B">
        <w:rPr>
          <w:color w:val="auto"/>
        </w:rPr>
        <w:t xml:space="preserve">Institute for Business and Home Safety (IBHS) wind </w:t>
      </w:r>
      <w:proofErr w:type="gramStart"/>
      <w:r w:rsidR="00A3547B" w:rsidRPr="00A3547B">
        <w:rPr>
          <w:color w:val="auto"/>
        </w:rPr>
        <w:t xml:space="preserve">tunnel  </w:t>
      </w:r>
      <w:proofErr w:type="gramEnd"/>
      <w:r w:rsidR="000111DF">
        <w:fldChar w:fldCharType="begin"/>
      </w:r>
      <w:r w:rsidR="000111DF">
        <w:instrText xml:space="preserve"> HYPERLINK "https://disastersafety.org/ibhs-research-center/research-center-main/" </w:instrText>
      </w:r>
      <w:r w:rsidR="000111DF">
        <w:fldChar w:fldCharType="separate"/>
      </w:r>
      <w:r w:rsidR="00A3547B" w:rsidRPr="00A3547B">
        <w:rPr>
          <w:rStyle w:val="Hyperlink"/>
        </w:rPr>
        <w:t>https://disastersafety.org/ibhs-research-center/research-center-main/</w:t>
      </w:r>
      <w:r w:rsidR="000111DF">
        <w:rPr>
          <w:rStyle w:val="Hyperlink"/>
        </w:rPr>
        <w:fldChar w:fldCharType="end"/>
      </w:r>
      <w:r w:rsidR="00A3547B" w:rsidRPr="00A3547B">
        <w:rPr>
          <w:color w:val="auto"/>
        </w:rPr>
        <w:t xml:space="preserve">   She has had research experience with building envelopes.  Bio:  </w:t>
      </w:r>
      <w:hyperlink r:id="rId11" w:history="1">
        <w:r w:rsidR="00A3547B" w:rsidRPr="00A3547B">
          <w:rPr>
            <w:rStyle w:val="Hyperlink"/>
          </w:rPr>
          <w:t>https://disastersafety.org/staff_bios/</w:t>
        </w:r>
      </w:hyperlink>
      <w:r w:rsidR="00A3547B">
        <w:rPr>
          <w:color w:val="auto"/>
        </w:rPr>
        <w:t xml:space="preserve"> </w:t>
      </w:r>
    </w:p>
    <w:p w14:paraId="4EF4F592" w14:textId="77777777" w:rsidR="00ED656F" w:rsidRPr="0002302F" w:rsidRDefault="00ED656F" w:rsidP="00ED656F">
      <w:pPr>
        <w:rPr>
          <w:rStyle w:val="Hyperlink"/>
          <w:color w:val="auto"/>
          <w:u w:val="none"/>
        </w:rPr>
      </w:pPr>
    </w:p>
    <w:p w14:paraId="267DCA7E" w14:textId="40FB4B8A" w:rsidR="00ED656F" w:rsidRPr="0002302F" w:rsidRDefault="00ED656F" w:rsidP="00ED656F">
      <w:pPr>
        <w:pStyle w:val="ListParagraph"/>
        <w:numPr>
          <w:ilvl w:val="0"/>
          <w:numId w:val="3"/>
        </w:numPr>
        <w:rPr>
          <w:color w:val="auto"/>
        </w:rPr>
      </w:pPr>
      <w:r w:rsidRPr="0002302F">
        <w:rPr>
          <w:color w:val="auto"/>
        </w:rPr>
        <w:t>Dr</w:t>
      </w:r>
      <w:proofErr w:type="gramStart"/>
      <w:r w:rsidRPr="0002302F">
        <w:rPr>
          <w:color w:val="auto"/>
        </w:rPr>
        <w:t>.  David</w:t>
      </w:r>
      <w:proofErr w:type="gramEnd"/>
      <w:r w:rsidRPr="0002302F">
        <w:rPr>
          <w:color w:val="auto"/>
        </w:rPr>
        <w:t xml:space="preserve"> </w:t>
      </w:r>
      <w:proofErr w:type="spellStart"/>
      <w:r w:rsidRPr="0002302F">
        <w:rPr>
          <w:color w:val="auto"/>
        </w:rPr>
        <w:t>Prevatt</w:t>
      </w:r>
      <w:proofErr w:type="spellEnd"/>
      <w:r w:rsidRPr="0002302F">
        <w:rPr>
          <w:color w:val="auto"/>
        </w:rPr>
        <w:t xml:space="preserve">: </w:t>
      </w:r>
      <w:r w:rsidR="00E85BC3" w:rsidRPr="0002302F">
        <w:rPr>
          <w:rStyle w:val="Hyperlink"/>
          <w:color w:val="auto"/>
          <w:u w:val="none"/>
        </w:rPr>
        <w:t>professor and practitioner</w:t>
      </w:r>
      <w:r w:rsidRPr="0002302F">
        <w:rPr>
          <w:color w:val="auto"/>
        </w:rPr>
        <w:t xml:space="preserve">; tornado storm damage experience; international perspective (Trinidad); RAPID grant for a tornado investigation.  </w:t>
      </w:r>
      <w:r w:rsidR="00407679">
        <w:rPr>
          <w:color w:val="auto"/>
        </w:rPr>
        <w:t>A member of two</w:t>
      </w:r>
      <w:r w:rsidR="00407679" w:rsidRPr="00407679">
        <w:rPr>
          <w:color w:val="auto"/>
        </w:rPr>
        <w:t xml:space="preserve"> ASCE standard committees (ASCE 7</w:t>
      </w:r>
      <w:r w:rsidR="00407679">
        <w:rPr>
          <w:color w:val="auto"/>
        </w:rPr>
        <w:t xml:space="preserve"> </w:t>
      </w:r>
      <w:r w:rsidR="00407679" w:rsidRPr="00407679">
        <w:rPr>
          <w:color w:val="auto"/>
        </w:rPr>
        <w:t xml:space="preserve">and tornado EF scale).  </w:t>
      </w:r>
    </w:p>
    <w:p w14:paraId="42CDFF31" w14:textId="77777777" w:rsidR="00ED656F" w:rsidRPr="0002302F" w:rsidRDefault="00ED656F" w:rsidP="00ED656F"/>
    <w:p w14:paraId="73C3D636" w14:textId="7AE162EB" w:rsidR="00ED656F" w:rsidRPr="00476A42" w:rsidRDefault="00ED656F" w:rsidP="005768BA">
      <w:pPr>
        <w:pStyle w:val="ListParagraph"/>
        <w:numPr>
          <w:ilvl w:val="0"/>
          <w:numId w:val="3"/>
        </w:numPr>
        <w:rPr>
          <w:color w:val="auto"/>
        </w:rPr>
      </w:pPr>
      <w:r w:rsidRPr="0002302F">
        <w:rPr>
          <w:color w:val="auto"/>
        </w:rPr>
        <w:t xml:space="preserve">Jon </w:t>
      </w:r>
      <w:proofErr w:type="spellStart"/>
      <w:r w:rsidRPr="0002302F">
        <w:rPr>
          <w:color w:val="auto"/>
        </w:rPr>
        <w:t>Heintz</w:t>
      </w:r>
      <w:proofErr w:type="spellEnd"/>
      <w:r w:rsidRPr="0002302F">
        <w:rPr>
          <w:color w:val="auto"/>
        </w:rPr>
        <w:t>:  Executive dire</w:t>
      </w:r>
      <w:r w:rsidR="00E85BC3" w:rsidRPr="0002302F">
        <w:rPr>
          <w:color w:val="auto"/>
        </w:rPr>
        <w:t>ctor Applied Technology Council</w:t>
      </w:r>
      <w:r w:rsidR="0002302F">
        <w:rPr>
          <w:color w:val="auto"/>
        </w:rPr>
        <w:t>.</w:t>
      </w:r>
      <w:r w:rsidR="00476A42">
        <w:rPr>
          <w:color w:val="auto"/>
        </w:rPr>
        <w:t xml:space="preserve">  L</w:t>
      </w:r>
      <w:r w:rsidR="00476A42" w:rsidRPr="00476A42">
        <w:rPr>
          <w:color w:val="auto"/>
        </w:rPr>
        <w:t xml:space="preserve">icensed civil/structural engineer; managed more than 50 major ATC projects involving earthquake, wind, coastal inundation, and man-made hazard mitigation issues, including performance-based design, soil-structure interaction, and general structural design issues covering the spectrum between commercial and residential building construction; involved in the development of guidelines, codes, and standards for existing buildings; post-disaster damage investigations following the 1989 Loma </w:t>
      </w:r>
      <w:proofErr w:type="spellStart"/>
      <w:r w:rsidR="00476A42" w:rsidRPr="00476A42">
        <w:rPr>
          <w:color w:val="auto"/>
        </w:rPr>
        <w:t>Prieta</w:t>
      </w:r>
      <w:proofErr w:type="spellEnd"/>
      <w:r w:rsidR="00476A42" w:rsidRPr="00476A42">
        <w:rPr>
          <w:color w:val="auto"/>
        </w:rPr>
        <w:t>, 1994 Northridge, 1999 Chi-Chi, and 2010 Chile Earthquakes, and Hurricanes Katrina and Rita in 2005.</w:t>
      </w:r>
    </w:p>
    <w:p w14:paraId="3AFDC689" w14:textId="77777777" w:rsidR="00ED656F" w:rsidRPr="0002302F" w:rsidRDefault="00ED656F" w:rsidP="00ED656F"/>
    <w:p w14:paraId="34B6456B" w14:textId="3EEA06EF" w:rsidR="00ED656F" w:rsidRPr="0002302F" w:rsidRDefault="00ED656F" w:rsidP="00ED656F">
      <w:pPr>
        <w:pStyle w:val="ListParagraph"/>
        <w:numPr>
          <w:ilvl w:val="0"/>
          <w:numId w:val="3"/>
        </w:numPr>
        <w:rPr>
          <w:color w:val="auto"/>
        </w:rPr>
      </w:pPr>
      <w:r w:rsidRPr="0002302F">
        <w:rPr>
          <w:color w:val="auto"/>
        </w:rPr>
        <w:t xml:space="preserve">Danielle </w:t>
      </w:r>
      <w:proofErr w:type="spellStart"/>
      <w:r w:rsidRPr="0002302F">
        <w:rPr>
          <w:color w:val="auto"/>
        </w:rPr>
        <w:t>Mieler</w:t>
      </w:r>
      <w:proofErr w:type="spellEnd"/>
      <w:r w:rsidRPr="0002302F">
        <w:rPr>
          <w:color w:val="auto"/>
        </w:rPr>
        <w:t xml:space="preserve"> –</w:t>
      </w:r>
      <w:r w:rsidR="00870EF0" w:rsidRPr="0002302F">
        <w:rPr>
          <w:color w:val="auto"/>
        </w:rPr>
        <w:t xml:space="preserve"> </w:t>
      </w:r>
      <w:r w:rsidRPr="0002302F">
        <w:rPr>
          <w:color w:val="auto"/>
        </w:rPr>
        <w:t xml:space="preserve">Board of Directors of EERI; Resilience Program Coordinator for the Association of Bay Area Governments (ABAG); </w:t>
      </w:r>
      <w:r w:rsidRPr="0002302F">
        <w:rPr>
          <w:bCs/>
          <w:color w:val="auto"/>
        </w:rPr>
        <w:t>Sociology</w:t>
      </w:r>
      <w:r w:rsidR="0002302F">
        <w:rPr>
          <w:color w:val="auto"/>
        </w:rPr>
        <w:t xml:space="preserve"> degree.</w:t>
      </w:r>
    </w:p>
    <w:p w14:paraId="4F91F6EE" w14:textId="77777777" w:rsidR="00ED656F" w:rsidRPr="0002302F" w:rsidRDefault="00ED656F" w:rsidP="00ED656F"/>
    <w:p w14:paraId="2DBAF93B" w14:textId="4E4C1DD1" w:rsidR="00ED656F" w:rsidRPr="00C40C01" w:rsidRDefault="00ED656F" w:rsidP="00ED656F">
      <w:pPr>
        <w:pStyle w:val="PlainText"/>
        <w:numPr>
          <w:ilvl w:val="0"/>
          <w:numId w:val="3"/>
        </w:numPr>
        <w:rPr>
          <w:rFonts w:ascii="Times New Roman" w:hAnsi="Times New Roman" w:cs="Times New Roman"/>
        </w:rPr>
      </w:pPr>
      <w:r w:rsidRPr="00C40C01">
        <w:rPr>
          <w:rFonts w:ascii="Times New Roman" w:hAnsi="Times New Roman" w:cs="Times New Roman"/>
        </w:rPr>
        <w:t xml:space="preserve">David Bonneville: </w:t>
      </w:r>
      <w:r w:rsidR="00870EF0" w:rsidRPr="00C40C01">
        <w:rPr>
          <w:rFonts w:ascii="Times New Roman" w:hAnsi="Times New Roman" w:cs="Times New Roman"/>
        </w:rPr>
        <w:t>C</w:t>
      </w:r>
      <w:r w:rsidRPr="00C40C01">
        <w:rPr>
          <w:rFonts w:ascii="Times New Roman" w:hAnsi="Times New Roman" w:cs="Times New Roman"/>
        </w:rPr>
        <w:t>hair of the NEHRP Provisions Update Committee.</w:t>
      </w:r>
      <w:r w:rsidR="00C40C01" w:rsidRPr="00C40C01">
        <w:rPr>
          <w:rFonts w:ascii="Times New Roman" w:hAnsi="Times New Roman" w:cs="Times New Roman"/>
        </w:rPr>
        <w:t xml:space="preserve">  Mr. David Bonneville serves as a Senior Principal of </w:t>
      </w:r>
      <w:proofErr w:type="spellStart"/>
      <w:r w:rsidR="00C40C01" w:rsidRPr="00C40C01">
        <w:rPr>
          <w:rFonts w:ascii="Times New Roman" w:hAnsi="Times New Roman" w:cs="Times New Roman"/>
        </w:rPr>
        <w:t>Degenkolb</w:t>
      </w:r>
      <w:proofErr w:type="spellEnd"/>
      <w:r w:rsidR="00C40C01" w:rsidRPr="00C40C01">
        <w:rPr>
          <w:rFonts w:ascii="Times New Roman" w:hAnsi="Times New Roman" w:cs="Times New Roman"/>
        </w:rPr>
        <w:t xml:space="preserve"> Engineers. Mr. Bonneville offers considerable expertise in seismic hazard reduction programs for corporate and government clients. Primary areas of specialization include the science and technology and government sectors. He has been an active contributor to the seismic code development process in California and nationally and holds positions on key committees influencing seismic engineering practices in the United States. He serves as the Chairman of the Building Seismic Safety Council. He served as Vice Chairman of the Board of </w:t>
      </w:r>
      <w:r w:rsidR="00C40C01" w:rsidRPr="00C40C01">
        <w:rPr>
          <w:rFonts w:ascii="Times New Roman" w:hAnsi="Times New Roman" w:cs="Times New Roman"/>
        </w:rPr>
        <w:lastRenderedPageBreak/>
        <w:t xml:space="preserve">Directors for the Building Seismic Safety Council. He serves a Member of Code Resource Support Committee at Building Seismic Safety Council. He serves as a long time Member and Chairman of the Lateral Forces Advisory Committee for the California Building Standards Commission. He served as Chairman of the Seismic Code Advisory Committee for the National Council of Structural Engineers Associations and recipient of its 2007 </w:t>
      </w:r>
      <w:proofErr w:type="spellStart"/>
      <w:r w:rsidR="00C40C01" w:rsidRPr="00C40C01">
        <w:rPr>
          <w:rFonts w:ascii="Times New Roman" w:hAnsi="Times New Roman" w:cs="Times New Roman"/>
        </w:rPr>
        <w:t>Delahay</w:t>
      </w:r>
      <w:proofErr w:type="spellEnd"/>
      <w:r w:rsidR="00C40C01" w:rsidRPr="00C40C01">
        <w:rPr>
          <w:rFonts w:ascii="Times New Roman" w:hAnsi="Times New Roman" w:cs="Times New Roman"/>
        </w:rPr>
        <w:t xml:space="preserve"> Award for outstanding contributions to building code development. He is a member of the ASCE 7 Seismic Task Committee. He served as Chairman of the Seismology Committee for the Structural Engineers Association of California and became a SEAOC Fellow in 2007. He was involved in projects like Corporate Seismic Program in Hewlett-Packard Company, Intel and Agilent Technologies; Seismic Program in Western Digital and US General Services Administration; and Seismic Upgrade Program in State of California Department of General Services. </w:t>
      </w:r>
    </w:p>
    <w:p w14:paraId="78F80E11" w14:textId="77777777" w:rsidR="00ED656F" w:rsidRPr="0002302F" w:rsidRDefault="00ED656F" w:rsidP="00ED656F">
      <w:pPr>
        <w:pStyle w:val="ListParagraph"/>
        <w:rPr>
          <w:color w:val="auto"/>
        </w:rPr>
      </w:pPr>
    </w:p>
    <w:p w14:paraId="5F40A6DF" w14:textId="3318D67E" w:rsidR="009352FB" w:rsidRPr="0002302F" w:rsidRDefault="00ED656F" w:rsidP="003E4017">
      <w:pPr>
        <w:pStyle w:val="ListParagraph"/>
        <w:numPr>
          <w:ilvl w:val="0"/>
          <w:numId w:val="3"/>
        </w:numPr>
        <w:rPr>
          <w:color w:val="auto"/>
        </w:rPr>
      </w:pPr>
      <w:r w:rsidRPr="0002302F">
        <w:rPr>
          <w:color w:val="auto"/>
        </w:rPr>
        <w:t xml:space="preserve">Kelly </w:t>
      </w:r>
      <w:proofErr w:type="spellStart"/>
      <w:r w:rsidRPr="0002302F">
        <w:rPr>
          <w:color w:val="auto"/>
        </w:rPr>
        <w:t>Cobeen</w:t>
      </w:r>
      <w:proofErr w:type="spellEnd"/>
      <w:r w:rsidRPr="0002302F">
        <w:rPr>
          <w:color w:val="auto"/>
        </w:rPr>
        <w:t xml:space="preserve">:  </w:t>
      </w:r>
      <w:r w:rsidR="00870EF0" w:rsidRPr="0002302F">
        <w:rPr>
          <w:color w:val="auto"/>
        </w:rPr>
        <w:t>W</w:t>
      </w:r>
      <w:r w:rsidRPr="0002302F">
        <w:rPr>
          <w:color w:val="auto"/>
        </w:rPr>
        <w:t xml:space="preserve">ood specialist. </w:t>
      </w:r>
      <w:r w:rsidR="00870EF0" w:rsidRPr="0002302F">
        <w:rPr>
          <w:color w:val="auto"/>
        </w:rPr>
        <w:t>Leader in</w:t>
      </w:r>
      <w:r w:rsidRPr="0002302F">
        <w:rPr>
          <w:color w:val="auto"/>
        </w:rPr>
        <w:t xml:space="preserve"> SEAOC</w:t>
      </w:r>
      <w:r w:rsidR="0002302F">
        <w:rPr>
          <w:color w:val="auto"/>
        </w:rPr>
        <w:t>.</w:t>
      </w:r>
    </w:p>
    <w:p w14:paraId="4FA6DD8D" w14:textId="77777777" w:rsidR="00DB64D5" w:rsidRPr="0002302F" w:rsidRDefault="00DB64D5" w:rsidP="00DB64D5">
      <w:pPr>
        <w:pStyle w:val="ListParagraph"/>
        <w:rPr>
          <w:color w:val="auto"/>
        </w:rPr>
      </w:pPr>
    </w:p>
    <w:p w14:paraId="6E084E0B" w14:textId="66F014C2" w:rsidR="00DB64D5" w:rsidRPr="00C31366" w:rsidRDefault="00DB64D5" w:rsidP="003E4017">
      <w:pPr>
        <w:pStyle w:val="ListParagraph"/>
        <w:numPr>
          <w:ilvl w:val="0"/>
          <w:numId w:val="3"/>
        </w:numPr>
        <w:rPr>
          <w:color w:val="auto"/>
        </w:rPr>
      </w:pPr>
      <w:r w:rsidRPr="0002302F">
        <w:rPr>
          <w:color w:val="auto"/>
        </w:rPr>
        <w:t xml:space="preserve">Ron </w:t>
      </w:r>
      <w:proofErr w:type="spellStart"/>
      <w:r w:rsidRPr="0002302F">
        <w:rPr>
          <w:color w:val="auto"/>
        </w:rPr>
        <w:t>Klemencic</w:t>
      </w:r>
      <w:proofErr w:type="spellEnd"/>
      <w:r w:rsidRPr="0002302F">
        <w:rPr>
          <w:color w:val="auto"/>
        </w:rPr>
        <w:t xml:space="preserve">: </w:t>
      </w:r>
      <w:r w:rsidR="00C31366" w:rsidRPr="00C31366">
        <w:rPr>
          <w:color w:val="auto"/>
        </w:rPr>
        <w:t xml:space="preserve">President of </w:t>
      </w:r>
      <w:r w:rsidR="000111DF">
        <w:fldChar w:fldCharType="begin"/>
      </w:r>
      <w:r w:rsidR="000111DF">
        <w:instrText xml:space="preserve"> HYPERLINK "http://www.mka.com/" \t "_blank" </w:instrText>
      </w:r>
      <w:r w:rsidR="000111DF">
        <w:fldChar w:fldCharType="separate"/>
      </w:r>
      <w:r w:rsidR="00C31366" w:rsidRPr="00C31366">
        <w:rPr>
          <w:rStyle w:val="Hyperlink"/>
          <w:color w:val="auto"/>
        </w:rPr>
        <w:t xml:space="preserve">Magnusson </w:t>
      </w:r>
      <w:proofErr w:type="spellStart"/>
      <w:r w:rsidR="00C31366" w:rsidRPr="00C31366">
        <w:rPr>
          <w:rStyle w:val="Hyperlink"/>
          <w:color w:val="auto"/>
        </w:rPr>
        <w:t>Klemencic</w:t>
      </w:r>
      <w:proofErr w:type="spellEnd"/>
      <w:r w:rsidR="00C31366" w:rsidRPr="00C31366">
        <w:rPr>
          <w:rStyle w:val="Hyperlink"/>
          <w:color w:val="auto"/>
        </w:rPr>
        <w:t xml:space="preserve"> Associates</w:t>
      </w:r>
      <w:r w:rsidR="000111DF">
        <w:rPr>
          <w:rStyle w:val="Hyperlink"/>
          <w:color w:val="auto"/>
        </w:rPr>
        <w:fldChar w:fldCharType="end"/>
      </w:r>
      <w:r w:rsidR="00C31366" w:rsidRPr="00C31366">
        <w:rPr>
          <w:color w:val="auto"/>
        </w:rPr>
        <w:t>, an award-winning structural and civil engineering firm headquartered in Seattle, Washington, with offices in Shanghai, Riyadh, and Chicago.</w:t>
      </w:r>
      <w:r w:rsidR="00C31366">
        <w:rPr>
          <w:color w:val="auto"/>
        </w:rPr>
        <w:t xml:space="preserve">  </w:t>
      </w:r>
      <w:r w:rsidR="00C31366" w:rsidRPr="00C31366">
        <w:rPr>
          <w:color w:val="auto"/>
        </w:rPr>
        <w:t xml:space="preserve">His published research papers in the field of tall buildings including research </w:t>
      </w:r>
      <w:proofErr w:type="gramStart"/>
      <w:r w:rsidR="00C31366" w:rsidRPr="00C31366">
        <w:rPr>
          <w:color w:val="auto"/>
        </w:rPr>
        <w:t>results  on</w:t>
      </w:r>
      <w:proofErr w:type="gramEnd"/>
      <w:r w:rsidR="00C31366" w:rsidRPr="00C31366">
        <w:rPr>
          <w:color w:val="auto"/>
        </w:rPr>
        <w:t xml:space="preserve"> post-tensioned floor slabs and reinforced concrete core wall connections, large-scale reinforced concrete link (coupling) beams, dual-plate composite core walls (steel plate shear walls), and more. He recently led the development and adoption throughout the U.S. of "Performance-Based Seismic Design" (PBSD) methodology for high-rise buildings, which provides buildings with increased safety, reliability, and flexibility at a reduced cost.   Ron was named 2008 Structural Engineer of the Year by the Structural Design of Tall and Special Buildings Journal, and he was also a 2008 Top 25 Engineering News Record Newsmaker for his work advancing PBSD.</w:t>
      </w:r>
      <w:r w:rsidR="00C40C01">
        <w:rPr>
          <w:color w:val="auto"/>
        </w:rPr>
        <w:t xml:space="preserve">  </w:t>
      </w:r>
      <w:r w:rsidR="00C31366" w:rsidRPr="00C31366">
        <w:rPr>
          <w:color w:val="auto"/>
        </w:rPr>
        <w:t xml:space="preserve">Ron is Past Chairman of the Council on Tall Buildings and serves on the Board of Directors of the American Concrete Institute and the Charles </w:t>
      </w:r>
      <w:proofErr w:type="spellStart"/>
      <w:r w:rsidR="00C31366" w:rsidRPr="00C31366">
        <w:rPr>
          <w:color w:val="auto"/>
        </w:rPr>
        <w:t>Pankow</w:t>
      </w:r>
      <w:proofErr w:type="spellEnd"/>
      <w:r w:rsidR="00C31366" w:rsidRPr="00C31366">
        <w:rPr>
          <w:color w:val="auto"/>
        </w:rPr>
        <w:t xml:space="preserve"> Foundation, a voting member of multiple American Concrete Institute committees, and a member of the Chicago Committee on High-Rise Buildings, the Concrete Technology Advisory Committee of the Portland Cement Association, the American Society of Civil Engineers, and the Urban Land Institute, to name a few. He is a registered engineer in 13 U.S. states with designs covering the spectrum of project types and materials. Ron’s international experience includes projects in 20 countries, such as 112-story Doha Tower and Convention Center in Qatar, 49-story 21st Century Tower in Shanghai, the 73-story High Cliff Apartments in Hong-Kong, and the Peer Review of the 1km tall, Kingdom Tower in Jeddah.</w:t>
      </w:r>
    </w:p>
    <w:p w14:paraId="399B1A97" w14:textId="77777777" w:rsidR="00DB64D5" w:rsidRPr="0002302F" w:rsidRDefault="00DB64D5" w:rsidP="00DB64D5">
      <w:pPr>
        <w:pStyle w:val="ListParagraph"/>
        <w:rPr>
          <w:color w:val="auto"/>
        </w:rPr>
      </w:pPr>
    </w:p>
    <w:p w14:paraId="22B5F595" w14:textId="1642E38F" w:rsidR="00DB64D5" w:rsidRPr="0002302F" w:rsidRDefault="00DB64D5" w:rsidP="003E4017">
      <w:pPr>
        <w:pStyle w:val="ListParagraph"/>
        <w:numPr>
          <w:ilvl w:val="0"/>
          <w:numId w:val="3"/>
        </w:numPr>
        <w:rPr>
          <w:color w:val="auto"/>
        </w:rPr>
      </w:pPr>
      <w:r w:rsidRPr="0002302F">
        <w:rPr>
          <w:color w:val="auto"/>
        </w:rPr>
        <w:t>Don Anderson: CH2M Hill</w:t>
      </w:r>
      <w:r w:rsidR="00CC3242" w:rsidRPr="0002302F">
        <w:rPr>
          <w:color w:val="auto"/>
        </w:rPr>
        <w:t xml:space="preserve">; </w:t>
      </w:r>
      <w:r w:rsidR="00C31366" w:rsidRPr="00C31366">
        <w:rPr>
          <w:color w:val="auto"/>
        </w:rPr>
        <w:t xml:space="preserve">Dr. Anderson is a principal geotechnical engineer in CH2M HILL's Bellevue, Washington office. He has more than 40 years of experience as a geotechnical engineering consultant. His experience covers all types of engineering design projects, including foundation design and construction for highways and bridges, ports and harbor structures, water storage and treatment plant facilities, earth and </w:t>
      </w:r>
      <w:proofErr w:type="spellStart"/>
      <w:r w:rsidR="00C31366" w:rsidRPr="00C31366">
        <w:rPr>
          <w:color w:val="auto"/>
        </w:rPr>
        <w:t>rockfill</w:t>
      </w:r>
      <w:proofErr w:type="spellEnd"/>
      <w:r w:rsidR="00C31366" w:rsidRPr="00C31366">
        <w:rPr>
          <w:color w:val="auto"/>
        </w:rPr>
        <w:t xml:space="preserve"> dams, LNG and nuclear power plants, and solid and hazardous waste remediation projects. Dr. Anderson provides specialized expertise in the areas of geotechnical earthquake engineering and soil dynamics.</w:t>
      </w:r>
    </w:p>
    <w:p w14:paraId="11C86563" w14:textId="77777777" w:rsidR="00DB64D5" w:rsidRPr="0002302F" w:rsidRDefault="00DB64D5" w:rsidP="00DB64D5">
      <w:pPr>
        <w:pStyle w:val="ListParagraph"/>
        <w:rPr>
          <w:color w:val="auto"/>
        </w:rPr>
      </w:pPr>
    </w:p>
    <w:p w14:paraId="0E5514E0" w14:textId="77777777" w:rsidR="00204DD3" w:rsidRPr="006C28E8" w:rsidRDefault="00204DD3" w:rsidP="006C28E8">
      <w:pPr>
        <w:pStyle w:val="ListParagraph"/>
        <w:rPr>
          <w:color w:val="auto"/>
        </w:rPr>
      </w:pPr>
    </w:p>
    <w:p w14:paraId="3709CEF3" w14:textId="7314D5C0" w:rsidR="00204DD3" w:rsidRPr="00F53EFF" w:rsidRDefault="00F53EFF" w:rsidP="00407679">
      <w:pPr>
        <w:pStyle w:val="ListParagraph"/>
        <w:numPr>
          <w:ilvl w:val="0"/>
          <w:numId w:val="3"/>
        </w:numPr>
        <w:rPr>
          <w:color w:val="auto"/>
        </w:rPr>
      </w:pPr>
      <w:r w:rsidRPr="00C31366">
        <w:rPr>
          <w:rStyle w:val="Strong"/>
          <w:b w:val="0"/>
          <w:color w:val="auto"/>
        </w:rPr>
        <w:t>S</w:t>
      </w:r>
      <w:r w:rsidR="00C31366" w:rsidRPr="00C31366">
        <w:rPr>
          <w:rStyle w:val="Strong"/>
          <w:b w:val="0"/>
          <w:color w:val="auto"/>
        </w:rPr>
        <w:t>amuel</w:t>
      </w:r>
      <w:r w:rsidRPr="00C31366">
        <w:rPr>
          <w:rStyle w:val="Strong"/>
          <w:b w:val="0"/>
          <w:color w:val="auto"/>
        </w:rPr>
        <w:t xml:space="preserve"> M. </w:t>
      </w:r>
      <w:proofErr w:type="spellStart"/>
      <w:r w:rsidRPr="00C31366">
        <w:rPr>
          <w:rStyle w:val="Strong"/>
          <w:b w:val="0"/>
          <w:color w:val="auto"/>
        </w:rPr>
        <w:t>R</w:t>
      </w:r>
      <w:r w:rsidR="00C31366" w:rsidRPr="00C31366">
        <w:rPr>
          <w:rStyle w:val="Strong"/>
          <w:b w:val="0"/>
          <w:color w:val="auto"/>
        </w:rPr>
        <w:t>ubenzer</w:t>
      </w:r>
      <w:proofErr w:type="spellEnd"/>
      <w:r w:rsidRPr="00C31366">
        <w:rPr>
          <w:rStyle w:val="Strong"/>
          <w:b w:val="0"/>
          <w:color w:val="auto"/>
        </w:rPr>
        <w:t>, PE, SE;</w:t>
      </w:r>
      <w:r>
        <w:rPr>
          <w:rStyle w:val="Strong"/>
          <w:color w:val="auto"/>
        </w:rPr>
        <w:t xml:space="preserve"> </w:t>
      </w:r>
      <w:r w:rsidR="00D768EC" w:rsidRPr="00F53EFF">
        <w:rPr>
          <w:color w:val="auto"/>
        </w:rPr>
        <w:t>Owner, FORS</w:t>
      </w:r>
      <w:r>
        <w:rPr>
          <w:color w:val="auto"/>
        </w:rPr>
        <w:t xml:space="preserve">E Consulting, Eau Claire, WI.  Masonry expertise.  </w:t>
      </w:r>
      <w:r w:rsidR="00D768EC" w:rsidRPr="00F53EFF">
        <w:rPr>
          <w:color w:val="auto"/>
        </w:rPr>
        <w:t>Sam has 14 years of experience in structural engineering. Early in his career, he worked as a structural engineer for design firms in Minnesota and Wisconsin, working on a wide variety of structures including several load-bearing masonry Target stores in several states. Sam also spent 5 years at RAM International and Bentley Systems providing training to structural engineers on how to use STAAD.pro, RAM Structural System, and all other structural design tools.</w:t>
      </w:r>
      <w:r>
        <w:rPr>
          <w:color w:val="auto"/>
        </w:rPr>
        <w:t xml:space="preserve">  </w:t>
      </w:r>
      <w:r w:rsidR="00D768EC" w:rsidRPr="00F53EFF">
        <w:rPr>
          <w:color w:val="auto"/>
        </w:rPr>
        <w:t xml:space="preserve">Sam started FORSE Consulting in January of 2010. He has spoken at several national structural engineering conferences, with a focus on structural masonry analysis and design. Sam has also been the structural engineering consultant to the Wisconsin Structural Masonry Coalition. Sam has a Master of Business Administration from Marquette University and a Bachelor of Civil </w:t>
      </w:r>
      <w:r>
        <w:rPr>
          <w:color w:val="auto"/>
        </w:rPr>
        <w:t>E</w:t>
      </w:r>
      <w:r w:rsidR="00D768EC" w:rsidRPr="00F53EFF">
        <w:rPr>
          <w:color w:val="auto"/>
        </w:rPr>
        <w:t xml:space="preserve">ngineering from the University of Minnesota. Sam is a licensed structural engineer (SE) in the state of Illinois and a professional engineer (PE) in many of the </w:t>
      </w:r>
      <w:proofErr w:type="gramStart"/>
      <w:r w:rsidR="00D768EC" w:rsidRPr="00F53EFF">
        <w:rPr>
          <w:color w:val="auto"/>
        </w:rPr>
        <w:t>Midwestern</w:t>
      </w:r>
      <w:proofErr w:type="gramEnd"/>
      <w:r w:rsidR="00D768EC" w:rsidRPr="00F53EFF">
        <w:rPr>
          <w:color w:val="auto"/>
        </w:rPr>
        <w:t xml:space="preserve"> states.</w:t>
      </w:r>
    </w:p>
    <w:p w14:paraId="1743DE92" w14:textId="77777777" w:rsidR="00F6530B" w:rsidRPr="006C28E8" w:rsidRDefault="00F6530B" w:rsidP="006C28E8">
      <w:pPr>
        <w:pStyle w:val="ListParagraph"/>
        <w:rPr>
          <w:color w:val="auto"/>
        </w:rPr>
      </w:pPr>
    </w:p>
    <w:p w14:paraId="684660F6" w14:textId="191614CE" w:rsidR="00F6530B" w:rsidRPr="006C28E8" w:rsidRDefault="00F6530B" w:rsidP="008811B9">
      <w:pPr>
        <w:pStyle w:val="ListParagraph"/>
        <w:numPr>
          <w:ilvl w:val="0"/>
          <w:numId w:val="3"/>
        </w:numPr>
        <w:rPr>
          <w:color w:val="auto"/>
        </w:rPr>
      </w:pPr>
      <w:r>
        <w:rPr>
          <w:color w:val="auto"/>
        </w:rPr>
        <w:t xml:space="preserve">Chris </w:t>
      </w:r>
      <w:proofErr w:type="spellStart"/>
      <w:r>
        <w:rPr>
          <w:color w:val="auto"/>
        </w:rPr>
        <w:t>Rojahn</w:t>
      </w:r>
      <w:proofErr w:type="spellEnd"/>
      <w:r w:rsidR="006C28E8">
        <w:rPr>
          <w:color w:val="auto"/>
        </w:rPr>
        <w:t>:</w:t>
      </w:r>
      <w:r w:rsidR="00D768EC">
        <w:rPr>
          <w:color w:val="auto"/>
        </w:rPr>
        <w:t xml:space="preserve"> </w:t>
      </w:r>
      <w:r w:rsidR="00D768EC" w:rsidRPr="006C28E8">
        <w:rPr>
          <w:color w:val="auto"/>
        </w:rPr>
        <w:t xml:space="preserve">A </w:t>
      </w:r>
      <w:r w:rsidR="00D768EC" w:rsidRPr="006C28E8">
        <w:rPr>
          <w:color w:val="auto"/>
          <w:lang w:val="en-GB"/>
        </w:rPr>
        <w:t>registered Civil Engineer, served as Executive Director of the Applied Technology Council (ATC) from 1981 to 2015 and is currently serving ATC as Director Emeritus.  Since joining ATC, he has served as Principal Investigator on more than 50 major projects involving earthquake and natural hazard mitigation issues, including development of:  earthquake risk mitigation strategies for urban areas; earthquake damage and loss evaluation data and methodology; methods for the seismic vulnerability assessment of buildings, bridges and other lifeline structures; methods for rapid and detailed seismic capacity evaluation of buildings; guidelines for the seismic rehabilitation of buildings; and procedures for post-earthquake safety evaluation of buildings.  He has also led numerous workshops on various technical issues related to the seismic design and performance of buildings, bridges, and other structures.</w:t>
      </w:r>
    </w:p>
    <w:p w14:paraId="7F28D1E3" w14:textId="77777777" w:rsidR="006C28E8" w:rsidRPr="006C28E8" w:rsidRDefault="006C28E8" w:rsidP="006C28E8"/>
    <w:p w14:paraId="2361963B" w14:textId="52742189" w:rsidR="008811B9" w:rsidRDefault="008811B9" w:rsidP="008811B9">
      <w:pPr>
        <w:pStyle w:val="ListParagraph"/>
        <w:numPr>
          <w:ilvl w:val="0"/>
          <w:numId w:val="3"/>
        </w:numPr>
        <w:rPr>
          <w:color w:val="auto"/>
        </w:rPr>
      </w:pPr>
      <w:r>
        <w:rPr>
          <w:color w:val="auto"/>
        </w:rPr>
        <w:t xml:space="preserve">Jim </w:t>
      </w:r>
      <w:proofErr w:type="spellStart"/>
      <w:r>
        <w:rPr>
          <w:color w:val="auto"/>
        </w:rPr>
        <w:t>Malley</w:t>
      </w:r>
      <w:proofErr w:type="spellEnd"/>
      <w:r w:rsidR="00C31366">
        <w:rPr>
          <w:color w:val="auto"/>
        </w:rPr>
        <w:t xml:space="preserve">: </w:t>
      </w:r>
      <w:r w:rsidR="00C31366" w:rsidRPr="00C31366">
        <w:rPr>
          <w:color w:val="auto"/>
        </w:rPr>
        <w:t>Renowned expert in steel construction, Jim has a portfolio that includes structural design, seismic evaluation, and seismic strengthening of existing buildings. Projects include a variety of healthcare facilities and several research efforts funded by institutions like the Federal Emergency Management Agency (FEMA) and the National Science Foundation. Jim was the Project Director for Topical Investigations of the SAC Joint Venture Partnership. Funded by FEMA, this team of professionals from the Structural Engineers Association of California, the Applied Technology Council, and California Universities for Research in Earthquake Engineering investigated the problem with steel moment frame connections revealed in the Northridge earthquake. SAC published guidelines on how to design, inspect, evaluate, and repair steel moment frame connections. Jim was President of the National Council of Structural Engineers Associations from 2010-2011 and serves as chair of the AISC’s Task Committee 9 on Seismic Design, responsible for AISC document 341 Seismic Provisions for Structural Steel Buildings. Jim’s longtime clients include the Department of Veterans Affairs, the City of Los Angeles, and the City of San Francisco.</w:t>
      </w:r>
    </w:p>
    <w:p w14:paraId="57AC2132" w14:textId="2ABED816" w:rsidR="006A54F6" w:rsidRPr="00A46FD8" w:rsidRDefault="006A54F6" w:rsidP="008811B9">
      <w:pPr>
        <w:pStyle w:val="ListParagraph"/>
        <w:numPr>
          <w:ilvl w:val="0"/>
          <w:numId w:val="3"/>
        </w:numPr>
        <w:rPr>
          <w:color w:val="auto"/>
        </w:rPr>
      </w:pPr>
      <w:r>
        <w:rPr>
          <w:color w:val="auto"/>
        </w:rPr>
        <w:t xml:space="preserve">H. Harris, Director of Engineering for Huckabee, A&amp;E Firm.  Chair of The Masonry Society (TMS) Disaster Investigation Program and recipient of the 2015 Paul Haller </w:t>
      </w:r>
      <w:r w:rsidRPr="00A46FD8">
        <w:rPr>
          <w:color w:val="auto"/>
        </w:rPr>
        <w:lastRenderedPageBreak/>
        <w:t xml:space="preserve">Award from TMS.  Currently working with the ICC 500-2014 Committee on the development of a Commentary Document.  </w:t>
      </w:r>
      <w:hyperlink r:id="rId12" w:history="1">
        <w:r w:rsidRPr="00A46FD8">
          <w:rPr>
            <w:rStyle w:val="Hyperlink"/>
          </w:rPr>
          <w:t>hharris@buckabee-inc.com</w:t>
        </w:r>
      </w:hyperlink>
      <w:r w:rsidRPr="00A46FD8">
        <w:rPr>
          <w:color w:val="auto"/>
        </w:rPr>
        <w:t xml:space="preserve">. </w:t>
      </w:r>
    </w:p>
    <w:p w14:paraId="1623218E" w14:textId="767482DB" w:rsidR="006A54F6" w:rsidRPr="00A46FD8" w:rsidRDefault="006A54F6" w:rsidP="006A54F6">
      <w:pPr>
        <w:pStyle w:val="ListParagraph"/>
        <w:rPr>
          <w:color w:val="auto"/>
        </w:rPr>
      </w:pPr>
    </w:p>
    <w:p w14:paraId="74054FAC" w14:textId="21329C52" w:rsidR="00A46FD8" w:rsidRDefault="00A46FD8" w:rsidP="003C630C">
      <w:pPr>
        <w:pStyle w:val="PlainText"/>
        <w:numPr>
          <w:ilvl w:val="0"/>
          <w:numId w:val="3"/>
        </w:numPr>
        <w:rPr>
          <w:rFonts w:ascii="Times New Roman" w:hAnsi="Times New Roman" w:cs="Times New Roman"/>
        </w:rPr>
      </w:pPr>
      <w:r>
        <w:rPr>
          <w:rFonts w:ascii="Times New Roman" w:hAnsi="Times New Roman" w:cs="Times New Roman"/>
        </w:rPr>
        <w:t>B</w:t>
      </w:r>
      <w:r w:rsidRPr="00A46FD8">
        <w:rPr>
          <w:rFonts w:ascii="Times New Roman" w:hAnsi="Times New Roman" w:cs="Times New Roman"/>
        </w:rPr>
        <w:t xml:space="preserve">ob </w:t>
      </w:r>
      <w:proofErr w:type="spellStart"/>
      <w:r w:rsidRPr="00A46FD8">
        <w:rPr>
          <w:rFonts w:ascii="Times New Roman" w:hAnsi="Times New Roman" w:cs="Times New Roman"/>
        </w:rPr>
        <w:t>Peckelnicky</w:t>
      </w:r>
      <w:proofErr w:type="spellEnd"/>
      <w:r w:rsidRPr="00A46FD8">
        <w:rPr>
          <w:rFonts w:ascii="Times New Roman" w:hAnsi="Times New Roman" w:cs="Times New Roman"/>
        </w:rPr>
        <w:t xml:space="preserve">:  He is with </w:t>
      </w:r>
      <w:proofErr w:type="spellStart"/>
      <w:r w:rsidRPr="00A46FD8">
        <w:rPr>
          <w:rFonts w:ascii="Times New Roman" w:hAnsi="Times New Roman" w:cs="Times New Roman"/>
        </w:rPr>
        <w:t>Degenkolb</w:t>
      </w:r>
      <w:proofErr w:type="spellEnd"/>
      <w:r w:rsidRPr="00A46FD8">
        <w:rPr>
          <w:rFonts w:ascii="Times New Roman" w:hAnsi="Times New Roman" w:cs="Times New Roman"/>
        </w:rPr>
        <w:t xml:space="preserve"> engineers, and is engineers and is active on both ASCE 41 (seismic evaluation of existing buildings) and the NEHRP Provisions Update Committee, which feeds into ASCE 7.  He specializes in making community and business infrastructure resilient against earthquakes, explosions, and other hazards.  His career has focused on taking new, innovative structural engineering concepts from research and applying them to practice to better meet clients' needs.  He advocates for public policies that promote disaster resilient cities and is very active in developing better performance based earthquake engineering methodologies, building codes and standards.</w:t>
      </w:r>
    </w:p>
    <w:p w14:paraId="1ED8956F" w14:textId="77777777" w:rsidR="0006049F" w:rsidRDefault="0006049F" w:rsidP="0006049F">
      <w:pPr>
        <w:pStyle w:val="ListParagraph"/>
      </w:pPr>
    </w:p>
    <w:p w14:paraId="784CB049" w14:textId="23A7A345" w:rsidR="0006049F" w:rsidRPr="00C60210" w:rsidRDefault="0006049F" w:rsidP="00085E35">
      <w:pPr>
        <w:pStyle w:val="ListParagraph"/>
        <w:numPr>
          <w:ilvl w:val="0"/>
          <w:numId w:val="3"/>
        </w:numPr>
        <w:rPr>
          <w:color w:val="auto"/>
        </w:rPr>
      </w:pPr>
      <w:r w:rsidRPr="00C60210">
        <w:rPr>
          <w:b/>
          <w:color w:val="auto"/>
        </w:rPr>
        <w:t xml:space="preserve">Glenn </w:t>
      </w:r>
      <w:proofErr w:type="spellStart"/>
      <w:r w:rsidRPr="00C60210">
        <w:rPr>
          <w:b/>
          <w:color w:val="auto"/>
        </w:rPr>
        <w:t>Rix</w:t>
      </w:r>
      <w:proofErr w:type="spellEnd"/>
      <w:r w:rsidRPr="00C60210">
        <w:rPr>
          <w:color w:val="auto"/>
        </w:rPr>
        <w:t xml:space="preserve">, Ph.D., PE, </w:t>
      </w:r>
      <w:hyperlink r:id="rId13" w:history="1">
        <w:r w:rsidRPr="00C60210">
          <w:rPr>
            <w:rStyle w:val="Hyperlink"/>
            <w:color w:val="auto"/>
          </w:rPr>
          <w:t>GRix@Geosyntec.com</w:t>
        </w:r>
      </w:hyperlink>
      <w:r w:rsidR="00C60210" w:rsidRPr="00C60210">
        <w:rPr>
          <w:rStyle w:val="Hyperlink"/>
          <w:color w:val="auto"/>
        </w:rPr>
        <w:t xml:space="preserve">:  </w:t>
      </w:r>
      <w:r w:rsidRPr="00C60210">
        <w:rPr>
          <w:color w:val="auto"/>
        </w:rPr>
        <w:t xml:space="preserve">Glenn </w:t>
      </w:r>
      <w:proofErr w:type="spellStart"/>
      <w:r w:rsidRPr="00C60210">
        <w:rPr>
          <w:color w:val="auto"/>
        </w:rPr>
        <w:t>Rix</w:t>
      </w:r>
      <w:proofErr w:type="spellEnd"/>
      <w:r w:rsidRPr="00C60210">
        <w:rPr>
          <w:color w:val="auto"/>
        </w:rPr>
        <w:t xml:space="preserve"> is a Senior Principal Geotechnical Engineer based in Georgia with more than 25 years</w:t>
      </w:r>
      <w:r w:rsidR="00C60210" w:rsidRPr="00C60210">
        <w:rPr>
          <w:color w:val="auto"/>
        </w:rPr>
        <w:t xml:space="preserve"> </w:t>
      </w:r>
      <w:r w:rsidRPr="00C60210">
        <w:rPr>
          <w:color w:val="auto"/>
        </w:rPr>
        <w:t>of experience focused on the areas of geotechnical earthquake engineering and engineering seismology. His practice includes seismic hazard and risk assessment and mitigation for civil infrastructure.</w:t>
      </w:r>
      <w:r w:rsidR="00C60210" w:rsidRPr="00C60210">
        <w:rPr>
          <w:color w:val="auto"/>
        </w:rPr>
        <w:t xml:space="preserve">  </w:t>
      </w:r>
      <w:r w:rsidRPr="00C60210">
        <w:rPr>
          <w:color w:val="auto"/>
        </w:rPr>
        <w:t xml:space="preserve">Glenn joined </w:t>
      </w:r>
      <w:proofErr w:type="spellStart"/>
      <w:r w:rsidRPr="00C60210">
        <w:rPr>
          <w:color w:val="auto"/>
        </w:rPr>
        <w:t>Geosyntec</w:t>
      </w:r>
      <w:proofErr w:type="spellEnd"/>
      <w:r w:rsidRPr="00C60210">
        <w:rPr>
          <w:color w:val="auto"/>
        </w:rPr>
        <w:t xml:space="preserve"> following a distinguished 23-year career as a professor in the School of Civil and Environmental Engineering at the Georgia Institute of Technology. Since joining </w:t>
      </w:r>
      <w:proofErr w:type="spellStart"/>
      <w:r w:rsidRPr="00C60210">
        <w:rPr>
          <w:color w:val="auto"/>
        </w:rPr>
        <w:t>Geosyntec</w:t>
      </w:r>
      <w:proofErr w:type="spellEnd"/>
      <w:r w:rsidRPr="00C60210">
        <w:rPr>
          <w:color w:val="auto"/>
        </w:rPr>
        <w:t>, Glenn has performed seismic hazard analyses, liquefaction triggering evaluations, site response analyses, and seismic stability and deformation analyses for embankment and concrete dams, coal combustion residual (CCR) storage facilities, municipal and hazardous waste landfills, liquefied natural gas facilities, and highway bridges. He has also served as an external peer reviewer for seismic hazard analyses for nuclear power plants. Glenn is a leading authority on in-situ seismic methods and is a co-author of </w:t>
      </w:r>
      <w:r w:rsidRPr="00C60210">
        <w:rPr>
          <w:i/>
          <w:iCs/>
          <w:color w:val="auto"/>
        </w:rPr>
        <w:t>Surface Wave Methods for Near-Surface Site Characterization</w:t>
      </w:r>
      <w:r w:rsidRPr="00C60210">
        <w:rPr>
          <w:color w:val="auto"/>
        </w:rPr>
        <w:t>. He has also provided litigation support for numerous cases related to the effects of blasting- and construction-induced ground vibrations on structures.</w:t>
      </w:r>
      <w:r w:rsidR="00C60210" w:rsidRPr="00C60210">
        <w:rPr>
          <w:color w:val="auto"/>
        </w:rPr>
        <w:t xml:space="preserve">  </w:t>
      </w:r>
      <w:r w:rsidRPr="00C60210">
        <w:rPr>
          <w:color w:val="auto"/>
        </w:rPr>
        <w:t>Glenn was appointed to the National Academies of Sciences, Engineering, and Medicine Committee on Geological and Geotechnical Engineering (COGGE). COGGE is the focal point within the Board on Earth Sciences and Resources for scientific, technical, and public-policy issues pertaining to the engineering applications of earth sciences. Glenn also serves on the Advisory Committee on Earthquake Hazards Reduction (ACEHR). ACEHR advises four federal agencies involved in the National Earthquake Hazards Reduction Program (NEHRP) and is charged with assessing trends and developments in the science and engineering of earthquake hazards reduction; the effectiveness of NEHRP; as well as the management, coordination, implementation, and activities of NEHRP.</w:t>
      </w:r>
    </w:p>
    <w:p w14:paraId="30BDAA45" w14:textId="77777777" w:rsidR="00C60210" w:rsidRPr="00C60210" w:rsidRDefault="00C60210" w:rsidP="00C60210">
      <w:pPr>
        <w:pStyle w:val="ListParagraph"/>
        <w:rPr>
          <w:color w:val="auto"/>
        </w:rPr>
      </w:pPr>
    </w:p>
    <w:p w14:paraId="12149541" w14:textId="3664C104" w:rsidR="0006049F" w:rsidRPr="00C60210" w:rsidRDefault="0006049F" w:rsidP="002B4FF5">
      <w:pPr>
        <w:pStyle w:val="ListParagraph"/>
        <w:numPr>
          <w:ilvl w:val="0"/>
          <w:numId w:val="3"/>
        </w:numPr>
        <w:rPr>
          <w:rFonts w:eastAsia="Times New Roman"/>
          <w:color w:val="auto"/>
        </w:rPr>
      </w:pPr>
      <w:r w:rsidRPr="00C60210">
        <w:rPr>
          <w:b/>
          <w:color w:val="auto"/>
        </w:rPr>
        <w:t xml:space="preserve">Joe </w:t>
      </w:r>
      <w:proofErr w:type="spellStart"/>
      <w:r w:rsidRPr="00C60210">
        <w:rPr>
          <w:b/>
          <w:color w:val="auto"/>
        </w:rPr>
        <w:t>Cibor</w:t>
      </w:r>
      <w:proofErr w:type="spellEnd"/>
      <w:r w:rsidRPr="00C60210">
        <w:rPr>
          <w:color w:val="auto"/>
        </w:rPr>
        <w:t xml:space="preserve">, PE, </w:t>
      </w:r>
      <w:hyperlink r:id="rId14" w:history="1">
        <w:r w:rsidRPr="00C60210">
          <w:rPr>
            <w:rStyle w:val="Hyperlink"/>
            <w:color w:val="auto"/>
          </w:rPr>
          <w:t>JCibor@CiborInc.com</w:t>
        </w:r>
      </w:hyperlink>
      <w:r w:rsidR="00C60210" w:rsidRPr="00C60210">
        <w:rPr>
          <w:rStyle w:val="Hyperlink"/>
          <w:color w:val="auto"/>
        </w:rPr>
        <w:t xml:space="preserve">:  </w:t>
      </w:r>
      <w:r w:rsidRPr="00C60210">
        <w:rPr>
          <w:rFonts w:eastAsia="Times New Roman"/>
          <w:color w:val="auto"/>
          <w:shd w:val="clear" w:color="auto" w:fill="FFFFFF"/>
        </w:rPr>
        <w:t xml:space="preserve">Mr. </w:t>
      </w:r>
      <w:proofErr w:type="spellStart"/>
      <w:r w:rsidRPr="00C60210">
        <w:rPr>
          <w:rFonts w:eastAsia="Times New Roman"/>
          <w:color w:val="auto"/>
          <w:shd w:val="clear" w:color="auto" w:fill="FFFFFF"/>
        </w:rPr>
        <w:t>Cibor</w:t>
      </w:r>
      <w:proofErr w:type="spellEnd"/>
      <w:r w:rsidRPr="00C60210">
        <w:rPr>
          <w:rFonts w:eastAsia="Times New Roman"/>
          <w:color w:val="auto"/>
          <w:shd w:val="clear" w:color="auto" w:fill="FFFFFF"/>
        </w:rPr>
        <w:t xml:space="preserve"> is a Professor in the Practice of Civil and Environmental Engineering at Rice University, lecturing in Soil Mechanics and Foundation Engineering. He is Founder and Principal of </w:t>
      </w:r>
      <w:proofErr w:type="spellStart"/>
      <w:r w:rsidRPr="00C60210">
        <w:rPr>
          <w:rFonts w:eastAsia="Times New Roman"/>
          <w:color w:val="auto"/>
          <w:shd w:val="clear" w:color="auto" w:fill="FFFFFF"/>
        </w:rPr>
        <w:t>Cibor</w:t>
      </w:r>
      <w:proofErr w:type="spellEnd"/>
      <w:r w:rsidRPr="00C60210">
        <w:rPr>
          <w:rFonts w:eastAsia="Times New Roman"/>
          <w:color w:val="auto"/>
          <w:shd w:val="clear" w:color="auto" w:fill="FFFFFF"/>
        </w:rPr>
        <w:t xml:space="preserve">, Inc., a </w:t>
      </w:r>
      <w:proofErr w:type="spellStart"/>
      <w:r w:rsidRPr="00C60210">
        <w:rPr>
          <w:rFonts w:eastAsia="Times New Roman"/>
          <w:color w:val="auto"/>
          <w:shd w:val="clear" w:color="auto" w:fill="FFFFFF"/>
        </w:rPr>
        <w:t>geoconsulting</w:t>
      </w:r>
      <w:proofErr w:type="spellEnd"/>
      <w:r w:rsidRPr="00C60210">
        <w:rPr>
          <w:rFonts w:eastAsia="Times New Roman"/>
          <w:color w:val="auto"/>
          <w:shd w:val="clear" w:color="auto" w:fill="FFFFFF"/>
        </w:rPr>
        <w:t xml:space="preserve"> practice headquartered in Houston, Texas. The firm serves clients in the commercial, institutional, governmental and energy sectors. Services are focused on traditional foundation engineering, site characterization, </w:t>
      </w:r>
      <w:proofErr w:type="spellStart"/>
      <w:r w:rsidRPr="00C60210">
        <w:rPr>
          <w:rFonts w:eastAsia="Times New Roman"/>
          <w:color w:val="auto"/>
          <w:shd w:val="clear" w:color="auto" w:fill="FFFFFF"/>
        </w:rPr>
        <w:t>geoforensics</w:t>
      </w:r>
      <w:proofErr w:type="spellEnd"/>
      <w:r w:rsidRPr="00C60210">
        <w:rPr>
          <w:rFonts w:eastAsia="Times New Roman"/>
          <w:color w:val="auto"/>
          <w:shd w:val="clear" w:color="auto" w:fill="FFFFFF"/>
        </w:rPr>
        <w:t>, and evaluating and managing risk associated with adverse ground conditions.</w:t>
      </w:r>
      <w:r w:rsidR="00C60210" w:rsidRPr="00C60210">
        <w:rPr>
          <w:rFonts w:eastAsia="Times New Roman"/>
          <w:color w:val="auto"/>
          <w:shd w:val="clear" w:color="auto" w:fill="FFFFFF"/>
        </w:rPr>
        <w:t xml:space="preserve">  </w:t>
      </w:r>
      <w:r w:rsidRPr="00C60210">
        <w:rPr>
          <w:rFonts w:eastAsia="Times New Roman"/>
          <w:color w:val="auto"/>
          <w:shd w:val="clear" w:color="auto" w:fill="FFFFFF"/>
        </w:rPr>
        <w:t xml:space="preserve">Prior to founding his own firm, Mr. </w:t>
      </w:r>
      <w:proofErr w:type="spellStart"/>
      <w:r w:rsidRPr="00C60210">
        <w:rPr>
          <w:rFonts w:eastAsia="Times New Roman"/>
          <w:color w:val="auto"/>
          <w:shd w:val="clear" w:color="auto" w:fill="FFFFFF"/>
        </w:rPr>
        <w:t>Cibor</w:t>
      </w:r>
      <w:proofErr w:type="spellEnd"/>
      <w:r w:rsidRPr="00C60210">
        <w:rPr>
          <w:rFonts w:eastAsia="Times New Roman"/>
          <w:color w:val="auto"/>
          <w:shd w:val="clear" w:color="auto" w:fill="FFFFFF"/>
        </w:rPr>
        <w:t xml:space="preserve"> was a member of </w:t>
      </w:r>
      <w:proofErr w:type="spellStart"/>
      <w:r w:rsidRPr="00C60210">
        <w:rPr>
          <w:rFonts w:eastAsia="Times New Roman"/>
          <w:color w:val="auto"/>
          <w:shd w:val="clear" w:color="auto" w:fill="FFFFFF"/>
        </w:rPr>
        <w:t>Fugro's</w:t>
      </w:r>
      <w:proofErr w:type="spellEnd"/>
      <w:r w:rsidRPr="00C60210">
        <w:rPr>
          <w:rFonts w:eastAsia="Times New Roman"/>
          <w:color w:val="auto"/>
          <w:shd w:val="clear" w:color="auto" w:fill="FFFFFF"/>
        </w:rPr>
        <w:t xml:space="preserve"> Global Management Team, where he led the onshore and </w:t>
      </w:r>
      <w:proofErr w:type="spellStart"/>
      <w:r w:rsidRPr="00C60210">
        <w:rPr>
          <w:rFonts w:eastAsia="Times New Roman"/>
          <w:color w:val="auto"/>
          <w:shd w:val="clear" w:color="auto" w:fill="FFFFFF"/>
        </w:rPr>
        <w:lastRenderedPageBreak/>
        <w:t>nearshore</w:t>
      </w:r>
      <w:proofErr w:type="spellEnd"/>
      <w:r w:rsidRPr="00C60210">
        <w:rPr>
          <w:rFonts w:eastAsia="Times New Roman"/>
          <w:color w:val="auto"/>
          <w:shd w:val="clear" w:color="auto" w:fill="FFFFFF"/>
        </w:rPr>
        <w:t> geotechnical practices throughout the Americas. The group was comprised of five operating companies,</w:t>
      </w:r>
      <w:r w:rsidR="00C60210" w:rsidRPr="00C60210">
        <w:rPr>
          <w:rFonts w:eastAsia="Times New Roman"/>
          <w:color w:val="auto"/>
          <w:shd w:val="clear" w:color="auto" w:fill="FFFFFF"/>
        </w:rPr>
        <w:t xml:space="preserve"> </w:t>
      </w:r>
      <w:r w:rsidRPr="00C60210">
        <w:rPr>
          <w:rFonts w:eastAsia="Times New Roman"/>
          <w:color w:val="auto"/>
          <w:shd w:val="clear" w:color="auto" w:fill="FFFFFF"/>
        </w:rPr>
        <w:t>with over 1100 professional,</w:t>
      </w:r>
      <w:r w:rsidR="00C60210" w:rsidRPr="00C60210">
        <w:rPr>
          <w:rFonts w:eastAsia="Times New Roman"/>
          <w:color w:val="auto"/>
          <w:shd w:val="clear" w:color="auto" w:fill="FFFFFF"/>
        </w:rPr>
        <w:t xml:space="preserve"> </w:t>
      </w:r>
      <w:r w:rsidRPr="00C60210">
        <w:rPr>
          <w:rFonts w:eastAsia="Times New Roman"/>
          <w:color w:val="auto"/>
          <w:shd w:val="clear" w:color="auto" w:fill="FFFFFF"/>
        </w:rPr>
        <w:t>technical and support personnel in 39 offices spanning the Continental U.S.,</w:t>
      </w:r>
      <w:r w:rsidR="00C60210" w:rsidRPr="00C60210">
        <w:rPr>
          <w:rFonts w:eastAsia="Times New Roman"/>
          <w:color w:val="auto"/>
          <w:shd w:val="clear" w:color="auto" w:fill="FFFFFF"/>
        </w:rPr>
        <w:t xml:space="preserve"> </w:t>
      </w:r>
      <w:r w:rsidRPr="00C60210">
        <w:rPr>
          <w:rFonts w:eastAsia="Times New Roman"/>
          <w:color w:val="auto"/>
          <w:shd w:val="clear" w:color="auto" w:fill="FFFFFF"/>
        </w:rPr>
        <w:t>Canada, and Central and South America.</w:t>
      </w:r>
      <w:r w:rsidR="00C60210" w:rsidRPr="00C60210">
        <w:rPr>
          <w:rFonts w:eastAsia="Times New Roman"/>
          <w:color w:val="auto"/>
          <w:shd w:val="clear" w:color="auto" w:fill="FFFFFF"/>
        </w:rPr>
        <w:t xml:space="preserve">  </w:t>
      </w:r>
      <w:r w:rsidRPr="00C60210">
        <w:rPr>
          <w:rFonts w:eastAsia="Times New Roman"/>
          <w:color w:val="auto"/>
          <w:shd w:val="clear" w:color="auto" w:fill="FFFFFF"/>
        </w:rPr>
        <w:t xml:space="preserve">With over 36 years of experience as a geotechnical engineer, Mr. </w:t>
      </w:r>
      <w:proofErr w:type="spellStart"/>
      <w:r w:rsidRPr="00C60210">
        <w:rPr>
          <w:rFonts w:eastAsia="Times New Roman"/>
          <w:color w:val="auto"/>
          <w:shd w:val="clear" w:color="auto" w:fill="FFFFFF"/>
        </w:rPr>
        <w:t>Cibor</w:t>
      </w:r>
      <w:proofErr w:type="spellEnd"/>
      <w:r w:rsidRPr="00C60210">
        <w:rPr>
          <w:rFonts w:eastAsia="Times New Roman"/>
          <w:color w:val="auto"/>
          <w:shd w:val="clear" w:color="auto" w:fill="FFFFFF"/>
        </w:rPr>
        <w:t xml:space="preserve"> has performed numerous geotechnical investigations along the Gulf Coast, in other regions of the United States and overseas. His past experience ranges from industrial, petrochemical and LNG facilities to high-rise structures and low to mid-rise commercial complexes, from bridges, bulkheads, embankments and levees, to power plants, water and wastewater facilities, power plants and roadways. He has been involved in a number of forensic studies and has testified as an expert witness.</w:t>
      </w:r>
      <w:r w:rsidR="00C60210" w:rsidRPr="00C60210">
        <w:rPr>
          <w:rFonts w:eastAsia="Times New Roman"/>
          <w:color w:val="auto"/>
          <w:shd w:val="clear" w:color="auto" w:fill="FFFFFF"/>
        </w:rPr>
        <w:t xml:space="preserve">  </w:t>
      </w:r>
      <w:r w:rsidRPr="00C60210">
        <w:rPr>
          <w:rFonts w:eastAsia="Times New Roman"/>
          <w:color w:val="auto"/>
          <w:shd w:val="clear" w:color="auto" w:fill="FFFFFF"/>
        </w:rPr>
        <w:t xml:space="preserve">He served as Chair of the </w:t>
      </w:r>
      <w:proofErr w:type="spellStart"/>
      <w:r w:rsidRPr="00C60210">
        <w:rPr>
          <w:rFonts w:eastAsia="Times New Roman"/>
          <w:color w:val="auto"/>
          <w:shd w:val="clear" w:color="auto" w:fill="FFFFFF"/>
        </w:rPr>
        <w:t>Stormwater</w:t>
      </w:r>
      <w:proofErr w:type="spellEnd"/>
      <w:r w:rsidRPr="00C60210">
        <w:rPr>
          <w:rFonts w:eastAsia="Times New Roman"/>
          <w:color w:val="auto"/>
          <w:shd w:val="clear" w:color="auto" w:fill="FFFFFF"/>
        </w:rPr>
        <w:t xml:space="preserve"> Management Committee of the Greater Houston Partnership.  He was President of the Texas Council of Engineering Laboratories. He served as national chair of the Practice Issues and Trends Committee of ASFE, on its Board of Directors for three years, becoming President of the national organization in 2006. He is a member of the Construction Industry Roundtable (CIRT), and served on both its board and executive committee. He has also served in leadership roles in other organizations including ASCE</w:t>
      </w:r>
      <w:proofErr w:type="gramStart"/>
      <w:r w:rsidRPr="00C60210">
        <w:rPr>
          <w:rFonts w:eastAsia="Times New Roman"/>
          <w:color w:val="auto"/>
          <w:shd w:val="clear" w:color="auto" w:fill="FFFFFF"/>
        </w:rPr>
        <w:t>,SMPS</w:t>
      </w:r>
      <w:proofErr w:type="gramEnd"/>
      <w:r w:rsidRPr="00C60210">
        <w:rPr>
          <w:rFonts w:eastAsia="Times New Roman"/>
          <w:color w:val="auto"/>
          <w:shd w:val="clear" w:color="auto" w:fill="FFFFFF"/>
        </w:rPr>
        <w:t>, NSPE and ACEC Texas.</w:t>
      </w:r>
    </w:p>
    <w:p w14:paraId="569C18E6" w14:textId="77777777" w:rsidR="00C60210" w:rsidRPr="00C60210" w:rsidRDefault="00C60210" w:rsidP="00C60210">
      <w:pPr>
        <w:pStyle w:val="ListParagraph"/>
        <w:rPr>
          <w:rFonts w:eastAsia="Times New Roman"/>
          <w:color w:val="auto"/>
          <w:shd w:val="clear" w:color="auto" w:fill="FFFFFF"/>
        </w:rPr>
      </w:pPr>
    </w:p>
    <w:p w14:paraId="3AAE93BD" w14:textId="77777777" w:rsidR="0006049F" w:rsidRPr="00C60210" w:rsidRDefault="0006049F" w:rsidP="00C60210">
      <w:pPr>
        <w:pStyle w:val="ListParagraph"/>
        <w:rPr>
          <w:rFonts w:eastAsia="Times New Roman"/>
          <w:color w:val="auto"/>
        </w:rPr>
      </w:pPr>
      <w:r w:rsidRPr="00C60210">
        <w:rPr>
          <w:rFonts w:eastAsia="Times New Roman"/>
          <w:color w:val="auto"/>
          <w:shd w:val="clear" w:color="auto" w:fill="FFFFFF"/>
        </w:rPr>
        <w:t xml:space="preserve">Joseph </w:t>
      </w:r>
      <w:proofErr w:type="spellStart"/>
      <w:r w:rsidRPr="00C60210">
        <w:rPr>
          <w:rFonts w:eastAsia="Times New Roman"/>
          <w:color w:val="auto"/>
          <w:shd w:val="clear" w:color="auto" w:fill="FFFFFF"/>
        </w:rPr>
        <w:t>Cibor</w:t>
      </w:r>
      <w:proofErr w:type="spellEnd"/>
      <w:r w:rsidRPr="00C60210">
        <w:rPr>
          <w:rFonts w:eastAsia="Times New Roman"/>
          <w:color w:val="auto"/>
          <w:shd w:val="clear" w:color="auto" w:fill="FFFFFF"/>
        </w:rPr>
        <w:t xml:space="preserve"> is an inaugural inductee of the Academy of </w:t>
      </w:r>
      <w:proofErr w:type="spellStart"/>
      <w:r w:rsidRPr="00C60210">
        <w:rPr>
          <w:rFonts w:eastAsia="Times New Roman"/>
          <w:color w:val="auto"/>
          <w:shd w:val="clear" w:color="auto" w:fill="FFFFFF"/>
        </w:rPr>
        <w:t>Geoprofessionals</w:t>
      </w:r>
      <w:proofErr w:type="spellEnd"/>
      <w:r w:rsidRPr="00C60210">
        <w:rPr>
          <w:rFonts w:eastAsia="Times New Roman"/>
          <w:color w:val="auto"/>
          <w:shd w:val="clear" w:color="auto" w:fill="FFFFFF"/>
        </w:rPr>
        <w:t>. He was Chair of the External Advisory Committees of both the University of Texas' Department of Civil, Architectural and Environmental Engineering and Purdue University's School of Civil and Environmental Engineering.</w:t>
      </w:r>
    </w:p>
    <w:p w14:paraId="3D7421F8" w14:textId="77777777" w:rsidR="00C60210" w:rsidRPr="00C60210" w:rsidRDefault="00C60210" w:rsidP="00C60210">
      <w:pPr>
        <w:pStyle w:val="ListParagraph"/>
        <w:rPr>
          <w:rFonts w:eastAsia="Times New Roman"/>
          <w:color w:val="auto"/>
          <w:shd w:val="clear" w:color="auto" w:fill="FFFFFF"/>
        </w:rPr>
      </w:pPr>
    </w:p>
    <w:p w14:paraId="56668B2E" w14:textId="412901DE" w:rsidR="0006049F" w:rsidRPr="00C60210" w:rsidRDefault="0006049F" w:rsidP="00C60210">
      <w:pPr>
        <w:pStyle w:val="ListParagraph"/>
        <w:rPr>
          <w:rFonts w:eastAsia="Times New Roman"/>
          <w:color w:val="auto"/>
        </w:rPr>
      </w:pPr>
      <w:proofErr w:type="spellStart"/>
      <w:r w:rsidRPr="00C60210">
        <w:rPr>
          <w:rFonts w:eastAsia="Times New Roman"/>
          <w:color w:val="auto"/>
          <w:shd w:val="clear" w:color="auto" w:fill="FFFFFF"/>
        </w:rPr>
        <w:t>Cibor</w:t>
      </w:r>
      <w:proofErr w:type="spellEnd"/>
      <w:r w:rsidRPr="00C60210">
        <w:rPr>
          <w:rFonts w:eastAsia="Times New Roman"/>
          <w:color w:val="auto"/>
          <w:shd w:val="clear" w:color="auto" w:fill="FFFFFF"/>
        </w:rPr>
        <w:t xml:space="preserve"> earned Bachelor of Science and Master of Science degrees in Civil Engineering from Purdue University in 1976 and 1978, respectively. He also completed the Program for Management Development (PMD) at the Harvard University Graduate School of Business Administration.</w:t>
      </w:r>
    </w:p>
    <w:p w14:paraId="36F65587" w14:textId="77777777" w:rsidR="0006049F" w:rsidRPr="00C60210" w:rsidRDefault="0006049F" w:rsidP="00C60210">
      <w:pPr>
        <w:pStyle w:val="ListParagraph"/>
        <w:rPr>
          <w:rFonts w:eastAsia="Times New Roman"/>
          <w:color w:val="auto"/>
        </w:rPr>
      </w:pPr>
    </w:p>
    <w:p w14:paraId="3FADD83D" w14:textId="14C13596" w:rsidR="0006049F" w:rsidRPr="00C60210" w:rsidRDefault="0006049F" w:rsidP="002E7697">
      <w:pPr>
        <w:pStyle w:val="ListParagraph"/>
        <w:numPr>
          <w:ilvl w:val="0"/>
          <w:numId w:val="3"/>
        </w:numPr>
        <w:rPr>
          <w:color w:val="auto"/>
        </w:rPr>
      </w:pPr>
      <w:r w:rsidRPr="00C60210">
        <w:rPr>
          <w:rFonts w:eastAsia="Times New Roman"/>
          <w:b/>
          <w:color w:val="auto"/>
        </w:rPr>
        <w:t>Jeff Keaton</w:t>
      </w:r>
      <w:r w:rsidRPr="00C60210">
        <w:rPr>
          <w:rFonts w:eastAsia="Times New Roman"/>
          <w:color w:val="auto"/>
        </w:rPr>
        <w:t xml:space="preserve">, Ph.D., PE. AMEC Foster Wheeler, </w:t>
      </w:r>
      <w:hyperlink r:id="rId15" w:history="1">
        <w:r w:rsidRPr="00C60210">
          <w:rPr>
            <w:rFonts w:eastAsia="Times New Roman"/>
            <w:color w:val="auto"/>
            <w:u w:val="single"/>
          </w:rPr>
          <w:t>Jeff.Keaton@amecfw.com</w:t>
        </w:r>
      </w:hyperlink>
      <w:r w:rsidR="00C60210" w:rsidRPr="00C60210">
        <w:rPr>
          <w:rFonts w:eastAsia="Times New Roman"/>
          <w:color w:val="auto"/>
        </w:rPr>
        <w:t xml:space="preserve">: </w:t>
      </w:r>
      <w:r w:rsidRPr="00C60210">
        <w:rPr>
          <w:color w:val="auto"/>
        </w:rPr>
        <w:t xml:space="preserve">Jeffrey R. Keaton specializes in quantifying hazardous natural processes for siting and design of all types of facilities in all geologic environments. He has degrees in Geological Engineering, Engineering (Geotechnical), and Geology. </w:t>
      </w:r>
      <w:proofErr w:type="gramStart"/>
      <w:r w:rsidRPr="00C60210">
        <w:rPr>
          <w:color w:val="auto"/>
        </w:rPr>
        <w:t xml:space="preserve">Keaton has been employed by consulting firms for over 45 years, and in </w:t>
      </w:r>
      <w:proofErr w:type="spellStart"/>
      <w:r w:rsidRPr="00C60210">
        <w:rPr>
          <w:color w:val="auto"/>
        </w:rPr>
        <w:t>Amec</w:t>
      </w:r>
      <w:proofErr w:type="spellEnd"/>
      <w:r w:rsidRPr="00C60210">
        <w:rPr>
          <w:color w:val="auto"/>
        </w:rPr>
        <w:t xml:space="preserve"> Foster Wheeler’s Los Angeles office of since July 2005 where he is a Principal Engineering Geologist</w:t>
      </w:r>
      <w:proofErr w:type="gramEnd"/>
      <w:r w:rsidRPr="00C60210">
        <w:rPr>
          <w:color w:val="auto"/>
        </w:rPr>
        <w:t xml:space="preserve">. He is registered in several states as an Engineer and as a Geologist; he holds the Envision Sustainability Professional (ENV SP) credential from the Institute for Sustainable Infrastructure and is a </w:t>
      </w:r>
      <w:proofErr w:type="spellStart"/>
      <w:r w:rsidRPr="00C60210">
        <w:rPr>
          <w:color w:val="auto"/>
        </w:rPr>
        <w:t>Diplomate</w:t>
      </w:r>
      <w:proofErr w:type="spellEnd"/>
      <w:r w:rsidRPr="00C60210">
        <w:rPr>
          <w:color w:val="auto"/>
        </w:rPr>
        <w:t xml:space="preserve"> in Geotechnical Engineering of the Academy of Geo-Professionals.</w:t>
      </w:r>
      <w:r w:rsidR="00C60210" w:rsidRPr="00C60210">
        <w:rPr>
          <w:color w:val="auto"/>
        </w:rPr>
        <w:t xml:space="preserve">  </w:t>
      </w:r>
      <w:r w:rsidRPr="00C60210">
        <w:rPr>
          <w:color w:val="auto"/>
        </w:rPr>
        <w:t xml:space="preserve">He has remained active in professional societies throughout his career. He currently serves the International Association for Engineering Geology and the Environment as Vice President for North America, and the American Society of Civil Engineers as a member of the Committee on Sustainability and the chair of its Strategic Communications Subcommittee. He also is chair of the Sustainability in Geotechnical Engineering Committee of ASCE’s Geo-Institute and a member of the Executive Committee of ABET’s Engineering Accreditation Commission. He is a past president of the Association of Environmental &amp; Engineering Geologists, past chair of the Transportation Research Board Section on Geology and Properties of Earth Materials, the Exploration </w:t>
      </w:r>
      <w:r w:rsidRPr="00C60210">
        <w:rPr>
          <w:color w:val="auto"/>
        </w:rPr>
        <w:lastRenderedPageBreak/>
        <w:t xml:space="preserve">and Classification of Earth Materials Committee, and the Engineering Geology Committee. </w:t>
      </w:r>
    </w:p>
    <w:p w14:paraId="01DDB476" w14:textId="77777777" w:rsidR="00A46FD8" w:rsidRPr="00C60210" w:rsidRDefault="00A46FD8" w:rsidP="00C60210">
      <w:pPr>
        <w:pStyle w:val="ListParagraph"/>
        <w:rPr>
          <w:color w:val="auto"/>
        </w:rPr>
      </w:pPr>
    </w:p>
    <w:sectPr w:rsidR="00A46FD8" w:rsidRPr="00C60210" w:rsidSect="00A271F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334D3" w14:textId="77777777" w:rsidR="00886DE9" w:rsidRDefault="00886DE9" w:rsidP="00A271F6">
      <w:r>
        <w:separator/>
      </w:r>
    </w:p>
  </w:endnote>
  <w:endnote w:type="continuationSeparator" w:id="0">
    <w:p w14:paraId="2C4ECE94" w14:textId="77777777" w:rsidR="00886DE9" w:rsidRDefault="00886DE9" w:rsidP="00A2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848984"/>
      <w:docPartObj>
        <w:docPartGallery w:val="Page Numbers (Bottom of Page)"/>
        <w:docPartUnique/>
      </w:docPartObj>
    </w:sdtPr>
    <w:sdtEndPr>
      <w:rPr>
        <w:noProof/>
      </w:rPr>
    </w:sdtEndPr>
    <w:sdtContent>
      <w:p w14:paraId="0DBAC640" w14:textId="2761859F" w:rsidR="00A271F6" w:rsidRDefault="00A271F6" w:rsidP="00A271F6">
        <w:pPr>
          <w:pStyle w:val="Footer"/>
          <w:jc w:val="right"/>
        </w:pPr>
        <w:r>
          <w:fldChar w:fldCharType="begin"/>
        </w:r>
        <w:r>
          <w:instrText xml:space="preserve"> PAGE   \* MERGEFORMAT </w:instrText>
        </w:r>
        <w:r>
          <w:fldChar w:fldCharType="separate"/>
        </w:r>
        <w:r w:rsidR="00480314">
          <w:rPr>
            <w:noProof/>
          </w:rPr>
          <w:t>1</w:t>
        </w:r>
        <w:r>
          <w:rPr>
            <w:noProof/>
          </w:rPr>
          <w:fldChar w:fldCharType="end"/>
        </w:r>
      </w:p>
    </w:sdtContent>
  </w:sdt>
  <w:p w14:paraId="6E89F168" w14:textId="77777777" w:rsidR="00A271F6" w:rsidRDefault="00A271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E7C06" w14:textId="77777777" w:rsidR="00886DE9" w:rsidRDefault="00886DE9" w:rsidP="00A271F6">
      <w:r>
        <w:separator/>
      </w:r>
    </w:p>
  </w:footnote>
  <w:footnote w:type="continuationSeparator" w:id="0">
    <w:p w14:paraId="7DCC7478" w14:textId="77777777" w:rsidR="00886DE9" w:rsidRDefault="00886DE9" w:rsidP="00A271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E523E"/>
    <w:multiLevelType w:val="hybridMultilevel"/>
    <w:tmpl w:val="A0DEE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42C21"/>
    <w:multiLevelType w:val="hybridMultilevel"/>
    <w:tmpl w:val="72607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7F4FCA"/>
    <w:multiLevelType w:val="hybridMultilevel"/>
    <w:tmpl w:val="40A09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594B7E"/>
    <w:multiLevelType w:val="multilevel"/>
    <w:tmpl w:val="DC0420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73D53C3"/>
    <w:multiLevelType w:val="hybridMultilevel"/>
    <w:tmpl w:val="FBACBB22"/>
    <w:lvl w:ilvl="0" w:tplc="A4BEA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5876DB"/>
    <w:multiLevelType w:val="hybridMultilevel"/>
    <w:tmpl w:val="081C603C"/>
    <w:lvl w:ilvl="0" w:tplc="D81EAF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1995B02"/>
    <w:multiLevelType w:val="hybridMultilevel"/>
    <w:tmpl w:val="6B4C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87253F"/>
    <w:multiLevelType w:val="hybridMultilevel"/>
    <w:tmpl w:val="A0DEE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2"/>
  </w:num>
  <w:num w:numId="5">
    <w:abstractNumId w:val="1"/>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6F"/>
    <w:rsid w:val="000111DF"/>
    <w:rsid w:val="0002302F"/>
    <w:rsid w:val="0006049F"/>
    <w:rsid w:val="000606B5"/>
    <w:rsid w:val="00127701"/>
    <w:rsid w:val="00182E16"/>
    <w:rsid w:val="00204DD3"/>
    <w:rsid w:val="00252DDE"/>
    <w:rsid w:val="002867FB"/>
    <w:rsid w:val="002C12CE"/>
    <w:rsid w:val="002F4FB6"/>
    <w:rsid w:val="00320253"/>
    <w:rsid w:val="00335B95"/>
    <w:rsid w:val="003A4EE8"/>
    <w:rsid w:val="003A6F58"/>
    <w:rsid w:val="003D3E24"/>
    <w:rsid w:val="00404CFE"/>
    <w:rsid w:val="00407679"/>
    <w:rsid w:val="00462987"/>
    <w:rsid w:val="00476A42"/>
    <w:rsid w:val="00480314"/>
    <w:rsid w:val="004D59F5"/>
    <w:rsid w:val="00504349"/>
    <w:rsid w:val="005506E4"/>
    <w:rsid w:val="00605745"/>
    <w:rsid w:val="00617D14"/>
    <w:rsid w:val="0066186D"/>
    <w:rsid w:val="006A54F6"/>
    <w:rsid w:val="006A698D"/>
    <w:rsid w:val="006B093F"/>
    <w:rsid w:val="006C28E8"/>
    <w:rsid w:val="00773EE2"/>
    <w:rsid w:val="007A778D"/>
    <w:rsid w:val="007B6F70"/>
    <w:rsid w:val="007D3961"/>
    <w:rsid w:val="00807CE3"/>
    <w:rsid w:val="0085544D"/>
    <w:rsid w:val="00870EF0"/>
    <w:rsid w:val="008811B9"/>
    <w:rsid w:val="00886DE9"/>
    <w:rsid w:val="00890FE8"/>
    <w:rsid w:val="008E6FB0"/>
    <w:rsid w:val="00926A37"/>
    <w:rsid w:val="00930AA7"/>
    <w:rsid w:val="009352FB"/>
    <w:rsid w:val="009C068D"/>
    <w:rsid w:val="009F4EF1"/>
    <w:rsid w:val="00A271F6"/>
    <w:rsid w:val="00A3547B"/>
    <w:rsid w:val="00A46FD8"/>
    <w:rsid w:val="00AC5296"/>
    <w:rsid w:val="00AD0C36"/>
    <w:rsid w:val="00B023B0"/>
    <w:rsid w:val="00B46057"/>
    <w:rsid w:val="00B80F8D"/>
    <w:rsid w:val="00C269CA"/>
    <w:rsid w:val="00C31366"/>
    <w:rsid w:val="00C40C01"/>
    <w:rsid w:val="00C44A12"/>
    <w:rsid w:val="00C55FD6"/>
    <w:rsid w:val="00C60210"/>
    <w:rsid w:val="00CC3242"/>
    <w:rsid w:val="00CF0403"/>
    <w:rsid w:val="00D100BF"/>
    <w:rsid w:val="00D70B94"/>
    <w:rsid w:val="00D768EC"/>
    <w:rsid w:val="00D83DB7"/>
    <w:rsid w:val="00DA660D"/>
    <w:rsid w:val="00DB64D5"/>
    <w:rsid w:val="00DC67C0"/>
    <w:rsid w:val="00E12266"/>
    <w:rsid w:val="00E67D4D"/>
    <w:rsid w:val="00E85BC3"/>
    <w:rsid w:val="00E95D61"/>
    <w:rsid w:val="00ED656F"/>
    <w:rsid w:val="00EF7836"/>
    <w:rsid w:val="00F53EFF"/>
    <w:rsid w:val="00F6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9A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6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D656F"/>
    <w:rPr>
      <w:i/>
      <w:iCs/>
    </w:rPr>
  </w:style>
  <w:style w:type="character" w:styleId="Hyperlink">
    <w:name w:val="Hyperlink"/>
    <w:basedOn w:val="DefaultParagraphFont"/>
    <w:uiPriority w:val="99"/>
    <w:unhideWhenUsed/>
    <w:rsid w:val="00ED656F"/>
    <w:rPr>
      <w:color w:val="0563C1"/>
      <w:u w:val="single"/>
    </w:rPr>
  </w:style>
  <w:style w:type="paragraph" w:styleId="ListParagraph">
    <w:name w:val="List Paragraph"/>
    <w:basedOn w:val="Normal"/>
    <w:uiPriority w:val="34"/>
    <w:qFormat/>
    <w:rsid w:val="00ED656F"/>
    <w:pPr>
      <w:ind w:left="720"/>
    </w:pPr>
    <w:rPr>
      <w:color w:val="3366FF"/>
    </w:rPr>
  </w:style>
  <w:style w:type="paragraph" w:styleId="PlainText">
    <w:name w:val="Plain Text"/>
    <w:basedOn w:val="Normal"/>
    <w:link w:val="PlainTextChar"/>
    <w:uiPriority w:val="99"/>
    <w:unhideWhenUsed/>
    <w:rsid w:val="00ED656F"/>
    <w:rPr>
      <w:rFonts w:ascii="Calibri" w:hAnsi="Calibri" w:cstheme="minorBidi"/>
      <w:szCs w:val="21"/>
    </w:rPr>
  </w:style>
  <w:style w:type="character" w:customStyle="1" w:styleId="PlainTextChar">
    <w:name w:val="Plain Text Char"/>
    <w:basedOn w:val="DefaultParagraphFont"/>
    <w:link w:val="PlainText"/>
    <w:uiPriority w:val="99"/>
    <w:rsid w:val="00ED656F"/>
    <w:rPr>
      <w:rFonts w:ascii="Calibri" w:hAnsi="Calibri"/>
      <w:sz w:val="24"/>
      <w:szCs w:val="21"/>
    </w:rPr>
  </w:style>
  <w:style w:type="table" w:styleId="TableGrid">
    <w:name w:val="Table Grid"/>
    <w:basedOn w:val="TableNormal"/>
    <w:uiPriority w:val="39"/>
    <w:rsid w:val="00B80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3EE2"/>
    <w:rPr>
      <w:sz w:val="18"/>
      <w:szCs w:val="18"/>
    </w:rPr>
  </w:style>
  <w:style w:type="paragraph" w:styleId="CommentText">
    <w:name w:val="annotation text"/>
    <w:basedOn w:val="Normal"/>
    <w:link w:val="CommentTextChar"/>
    <w:uiPriority w:val="99"/>
    <w:semiHidden/>
    <w:unhideWhenUsed/>
    <w:rsid w:val="00773EE2"/>
  </w:style>
  <w:style w:type="character" w:customStyle="1" w:styleId="CommentTextChar">
    <w:name w:val="Comment Text Char"/>
    <w:basedOn w:val="DefaultParagraphFont"/>
    <w:link w:val="CommentText"/>
    <w:uiPriority w:val="99"/>
    <w:semiHidden/>
    <w:rsid w:val="00773EE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3EE2"/>
    <w:rPr>
      <w:b/>
      <w:bCs/>
      <w:sz w:val="20"/>
      <w:szCs w:val="20"/>
    </w:rPr>
  </w:style>
  <w:style w:type="character" w:customStyle="1" w:styleId="CommentSubjectChar">
    <w:name w:val="Comment Subject Char"/>
    <w:basedOn w:val="CommentTextChar"/>
    <w:link w:val="CommentSubject"/>
    <w:uiPriority w:val="99"/>
    <w:semiHidden/>
    <w:rsid w:val="00773EE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73E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EE2"/>
    <w:rPr>
      <w:rFonts w:ascii="Lucida Grande" w:hAnsi="Lucida Grande" w:cs="Lucida Grande"/>
      <w:sz w:val="18"/>
      <w:szCs w:val="18"/>
    </w:rPr>
  </w:style>
  <w:style w:type="character" w:styleId="FollowedHyperlink">
    <w:name w:val="FollowedHyperlink"/>
    <w:basedOn w:val="DefaultParagraphFont"/>
    <w:uiPriority w:val="99"/>
    <w:semiHidden/>
    <w:unhideWhenUsed/>
    <w:rsid w:val="00A3547B"/>
    <w:rPr>
      <w:color w:val="954F72" w:themeColor="followedHyperlink"/>
      <w:u w:val="single"/>
    </w:rPr>
  </w:style>
  <w:style w:type="character" w:styleId="Strong">
    <w:name w:val="Strong"/>
    <w:basedOn w:val="DefaultParagraphFont"/>
    <w:uiPriority w:val="22"/>
    <w:qFormat/>
    <w:rsid w:val="00204DD3"/>
    <w:rPr>
      <w:b/>
      <w:bCs/>
    </w:rPr>
  </w:style>
  <w:style w:type="paragraph" w:styleId="Header">
    <w:name w:val="header"/>
    <w:basedOn w:val="Normal"/>
    <w:link w:val="HeaderChar"/>
    <w:uiPriority w:val="99"/>
    <w:unhideWhenUsed/>
    <w:rsid w:val="00A271F6"/>
    <w:pPr>
      <w:tabs>
        <w:tab w:val="center" w:pos="4680"/>
        <w:tab w:val="right" w:pos="9360"/>
      </w:tabs>
    </w:pPr>
  </w:style>
  <w:style w:type="character" w:customStyle="1" w:styleId="HeaderChar">
    <w:name w:val="Header Char"/>
    <w:basedOn w:val="DefaultParagraphFont"/>
    <w:link w:val="Header"/>
    <w:uiPriority w:val="99"/>
    <w:rsid w:val="00A271F6"/>
    <w:rPr>
      <w:rFonts w:ascii="Times New Roman" w:hAnsi="Times New Roman" w:cs="Times New Roman"/>
      <w:sz w:val="24"/>
      <w:szCs w:val="24"/>
    </w:rPr>
  </w:style>
  <w:style w:type="paragraph" w:styleId="Footer">
    <w:name w:val="footer"/>
    <w:basedOn w:val="Normal"/>
    <w:link w:val="FooterChar"/>
    <w:uiPriority w:val="99"/>
    <w:unhideWhenUsed/>
    <w:rsid w:val="00A271F6"/>
    <w:pPr>
      <w:tabs>
        <w:tab w:val="center" w:pos="4680"/>
        <w:tab w:val="right" w:pos="9360"/>
      </w:tabs>
    </w:pPr>
  </w:style>
  <w:style w:type="character" w:customStyle="1" w:styleId="FooterChar">
    <w:name w:val="Footer Char"/>
    <w:basedOn w:val="DefaultParagraphFont"/>
    <w:link w:val="Footer"/>
    <w:uiPriority w:val="99"/>
    <w:rsid w:val="00A271F6"/>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6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D656F"/>
    <w:rPr>
      <w:i/>
      <w:iCs/>
    </w:rPr>
  </w:style>
  <w:style w:type="character" w:styleId="Hyperlink">
    <w:name w:val="Hyperlink"/>
    <w:basedOn w:val="DefaultParagraphFont"/>
    <w:uiPriority w:val="99"/>
    <w:unhideWhenUsed/>
    <w:rsid w:val="00ED656F"/>
    <w:rPr>
      <w:color w:val="0563C1"/>
      <w:u w:val="single"/>
    </w:rPr>
  </w:style>
  <w:style w:type="paragraph" w:styleId="ListParagraph">
    <w:name w:val="List Paragraph"/>
    <w:basedOn w:val="Normal"/>
    <w:uiPriority w:val="34"/>
    <w:qFormat/>
    <w:rsid w:val="00ED656F"/>
    <w:pPr>
      <w:ind w:left="720"/>
    </w:pPr>
    <w:rPr>
      <w:color w:val="3366FF"/>
    </w:rPr>
  </w:style>
  <w:style w:type="paragraph" w:styleId="PlainText">
    <w:name w:val="Plain Text"/>
    <w:basedOn w:val="Normal"/>
    <w:link w:val="PlainTextChar"/>
    <w:uiPriority w:val="99"/>
    <w:unhideWhenUsed/>
    <w:rsid w:val="00ED656F"/>
    <w:rPr>
      <w:rFonts w:ascii="Calibri" w:hAnsi="Calibri" w:cstheme="minorBidi"/>
      <w:szCs w:val="21"/>
    </w:rPr>
  </w:style>
  <w:style w:type="character" w:customStyle="1" w:styleId="PlainTextChar">
    <w:name w:val="Plain Text Char"/>
    <w:basedOn w:val="DefaultParagraphFont"/>
    <w:link w:val="PlainText"/>
    <w:uiPriority w:val="99"/>
    <w:rsid w:val="00ED656F"/>
    <w:rPr>
      <w:rFonts w:ascii="Calibri" w:hAnsi="Calibri"/>
      <w:sz w:val="24"/>
      <w:szCs w:val="21"/>
    </w:rPr>
  </w:style>
  <w:style w:type="table" w:styleId="TableGrid">
    <w:name w:val="Table Grid"/>
    <w:basedOn w:val="TableNormal"/>
    <w:uiPriority w:val="39"/>
    <w:rsid w:val="00B80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3EE2"/>
    <w:rPr>
      <w:sz w:val="18"/>
      <w:szCs w:val="18"/>
    </w:rPr>
  </w:style>
  <w:style w:type="paragraph" w:styleId="CommentText">
    <w:name w:val="annotation text"/>
    <w:basedOn w:val="Normal"/>
    <w:link w:val="CommentTextChar"/>
    <w:uiPriority w:val="99"/>
    <w:semiHidden/>
    <w:unhideWhenUsed/>
    <w:rsid w:val="00773EE2"/>
  </w:style>
  <w:style w:type="character" w:customStyle="1" w:styleId="CommentTextChar">
    <w:name w:val="Comment Text Char"/>
    <w:basedOn w:val="DefaultParagraphFont"/>
    <w:link w:val="CommentText"/>
    <w:uiPriority w:val="99"/>
    <w:semiHidden/>
    <w:rsid w:val="00773EE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3EE2"/>
    <w:rPr>
      <w:b/>
      <w:bCs/>
      <w:sz w:val="20"/>
      <w:szCs w:val="20"/>
    </w:rPr>
  </w:style>
  <w:style w:type="character" w:customStyle="1" w:styleId="CommentSubjectChar">
    <w:name w:val="Comment Subject Char"/>
    <w:basedOn w:val="CommentTextChar"/>
    <w:link w:val="CommentSubject"/>
    <w:uiPriority w:val="99"/>
    <w:semiHidden/>
    <w:rsid w:val="00773EE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73E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EE2"/>
    <w:rPr>
      <w:rFonts w:ascii="Lucida Grande" w:hAnsi="Lucida Grande" w:cs="Lucida Grande"/>
      <w:sz w:val="18"/>
      <w:szCs w:val="18"/>
    </w:rPr>
  </w:style>
  <w:style w:type="character" w:styleId="FollowedHyperlink">
    <w:name w:val="FollowedHyperlink"/>
    <w:basedOn w:val="DefaultParagraphFont"/>
    <w:uiPriority w:val="99"/>
    <w:semiHidden/>
    <w:unhideWhenUsed/>
    <w:rsid w:val="00A3547B"/>
    <w:rPr>
      <w:color w:val="954F72" w:themeColor="followedHyperlink"/>
      <w:u w:val="single"/>
    </w:rPr>
  </w:style>
  <w:style w:type="character" w:styleId="Strong">
    <w:name w:val="Strong"/>
    <w:basedOn w:val="DefaultParagraphFont"/>
    <w:uiPriority w:val="22"/>
    <w:qFormat/>
    <w:rsid w:val="00204DD3"/>
    <w:rPr>
      <w:b/>
      <w:bCs/>
    </w:rPr>
  </w:style>
  <w:style w:type="paragraph" w:styleId="Header">
    <w:name w:val="header"/>
    <w:basedOn w:val="Normal"/>
    <w:link w:val="HeaderChar"/>
    <w:uiPriority w:val="99"/>
    <w:unhideWhenUsed/>
    <w:rsid w:val="00A271F6"/>
    <w:pPr>
      <w:tabs>
        <w:tab w:val="center" w:pos="4680"/>
        <w:tab w:val="right" w:pos="9360"/>
      </w:tabs>
    </w:pPr>
  </w:style>
  <w:style w:type="character" w:customStyle="1" w:styleId="HeaderChar">
    <w:name w:val="Header Char"/>
    <w:basedOn w:val="DefaultParagraphFont"/>
    <w:link w:val="Header"/>
    <w:uiPriority w:val="99"/>
    <w:rsid w:val="00A271F6"/>
    <w:rPr>
      <w:rFonts w:ascii="Times New Roman" w:hAnsi="Times New Roman" w:cs="Times New Roman"/>
      <w:sz w:val="24"/>
      <w:szCs w:val="24"/>
    </w:rPr>
  </w:style>
  <w:style w:type="paragraph" w:styleId="Footer">
    <w:name w:val="footer"/>
    <w:basedOn w:val="Normal"/>
    <w:link w:val="FooterChar"/>
    <w:uiPriority w:val="99"/>
    <w:unhideWhenUsed/>
    <w:rsid w:val="00A271F6"/>
    <w:pPr>
      <w:tabs>
        <w:tab w:val="center" w:pos="4680"/>
        <w:tab w:val="right" w:pos="9360"/>
      </w:tabs>
    </w:pPr>
  </w:style>
  <w:style w:type="character" w:customStyle="1" w:styleId="FooterChar">
    <w:name w:val="Footer Char"/>
    <w:basedOn w:val="DefaultParagraphFont"/>
    <w:link w:val="Footer"/>
    <w:uiPriority w:val="99"/>
    <w:rsid w:val="00A271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6235">
      <w:bodyDiv w:val="1"/>
      <w:marLeft w:val="0"/>
      <w:marRight w:val="0"/>
      <w:marTop w:val="0"/>
      <w:marBottom w:val="0"/>
      <w:divBdr>
        <w:top w:val="none" w:sz="0" w:space="0" w:color="auto"/>
        <w:left w:val="none" w:sz="0" w:space="0" w:color="auto"/>
        <w:bottom w:val="none" w:sz="0" w:space="0" w:color="auto"/>
        <w:right w:val="none" w:sz="0" w:space="0" w:color="auto"/>
      </w:divBdr>
    </w:div>
    <w:div w:id="178007442">
      <w:bodyDiv w:val="1"/>
      <w:marLeft w:val="0"/>
      <w:marRight w:val="0"/>
      <w:marTop w:val="0"/>
      <w:marBottom w:val="0"/>
      <w:divBdr>
        <w:top w:val="none" w:sz="0" w:space="0" w:color="auto"/>
        <w:left w:val="none" w:sz="0" w:space="0" w:color="auto"/>
        <w:bottom w:val="none" w:sz="0" w:space="0" w:color="auto"/>
        <w:right w:val="none" w:sz="0" w:space="0" w:color="auto"/>
      </w:divBdr>
    </w:div>
    <w:div w:id="222717532">
      <w:bodyDiv w:val="1"/>
      <w:marLeft w:val="0"/>
      <w:marRight w:val="0"/>
      <w:marTop w:val="0"/>
      <w:marBottom w:val="0"/>
      <w:divBdr>
        <w:top w:val="none" w:sz="0" w:space="0" w:color="auto"/>
        <w:left w:val="none" w:sz="0" w:space="0" w:color="auto"/>
        <w:bottom w:val="none" w:sz="0" w:space="0" w:color="auto"/>
        <w:right w:val="none" w:sz="0" w:space="0" w:color="auto"/>
      </w:divBdr>
    </w:div>
    <w:div w:id="350955312">
      <w:bodyDiv w:val="1"/>
      <w:marLeft w:val="0"/>
      <w:marRight w:val="0"/>
      <w:marTop w:val="0"/>
      <w:marBottom w:val="0"/>
      <w:divBdr>
        <w:top w:val="none" w:sz="0" w:space="0" w:color="auto"/>
        <w:left w:val="none" w:sz="0" w:space="0" w:color="auto"/>
        <w:bottom w:val="none" w:sz="0" w:space="0" w:color="auto"/>
        <w:right w:val="none" w:sz="0" w:space="0" w:color="auto"/>
      </w:divBdr>
    </w:div>
    <w:div w:id="20432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isastersafety.org/staff_bios/" TargetMode="External"/><Relationship Id="rId12" Type="http://schemas.openxmlformats.org/officeDocument/2006/relationships/hyperlink" Target="mailto:hharris@buckabee-inc.com" TargetMode="External"/><Relationship Id="rId13" Type="http://schemas.openxmlformats.org/officeDocument/2006/relationships/hyperlink" Target="mailto:GRix@Geosyntec.com" TargetMode="External"/><Relationship Id="rId14" Type="http://schemas.openxmlformats.org/officeDocument/2006/relationships/hyperlink" Target="mailto:JCibor@CiborInc.com" TargetMode="External"/><Relationship Id="rId15" Type="http://schemas.openxmlformats.org/officeDocument/2006/relationships/hyperlink" Target="mailto:Jeff.Keaton@amecfw.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yperlink" Target="http://martinchock.com/gary-chock.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22CF-9C53-814E-9E8B-1EC13612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3798</Words>
  <Characters>21650</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Browning</dc:creator>
  <cp:keywords/>
  <dc:description/>
  <cp:lastModifiedBy>julio ramirez</cp:lastModifiedBy>
  <cp:revision>3</cp:revision>
  <dcterms:created xsi:type="dcterms:W3CDTF">2017-05-22T15:11:00Z</dcterms:created>
  <dcterms:modified xsi:type="dcterms:W3CDTF">2017-05-22T15:18:00Z</dcterms:modified>
</cp:coreProperties>
</file>