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2ED7" w14:textId="77777777" w:rsidR="00845AA3" w:rsidRDefault="00845AA3" w:rsidP="001A3C76">
      <w:pPr>
        <w:pStyle w:val="Heading1"/>
      </w:pPr>
      <w:bookmarkStart w:id="0" w:name="_Toc455746710"/>
      <w:r>
        <w:t>Cybersecurity Plan Summary</w:t>
      </w:r>
      <w:bookmarkEnd w:id="0"/>
    </w:p>
    <w:p w14:paraId="4F311B88" w14:textId="77777777" w:rsidR="009A624C" w:rsidRDefault="009A624C" w:rsidP="009A624C">
      <w:r>
        <w:t>The UF</w:t>
      </w:r>
      <w:r w:rsidRPr="00FE4275">
        <w:t xml:space="preserve"> </w:t>
      </w:r>
      <w:r>
        <w:t xml:space="preserve">Information Security Office (ISO) </w:t>
      </w:r>
      <w:r w:rsidRPr="00FE4275">
        <w:t>has a well-defined risk assessment policy (</w:t>
      </w:r>
      <w:hyperlink r:id="rId6" w:history="1">
        <w:r w:rsidRPr="00FE4275">
          <w:rPr>
            <w:rStyle w:val="Hyperlink"/>
          </w:rPr>
          <w:t>http://www.it.ufl.edu/policies/information-security/risk-management-policy/</w:t>
        </w:r>
      </w:hyperlink>
      <w:r w:rsidRPr="00FE4275">
        <w:t>) and standard</w:t>
      </w:r>
      <w:r>
        <w:t xml:space="preserve"> </w:t>
      </w:r>
      <w:r w:rsidRPr="00FE4275">
        <w:t>(</w:t>
      </w:r>
      <w:hyperlink r:id="rId7" w:history="1">
        <w:r w:rsidRPr="00FE4275">
          <w:rPr>
            <w:rStyle w:val="Hyperlink"/>
          </w:rPr>
          <w:t>http://www.it.ufl.edu/policies/information-security/risk-assessment-standard/</w:t>
        </w:r>
      </w:hyperlink>
      <w:r w:rsidRPr="00FE4275">
        <w:t>) for information security.  Information systems within the university must pass through a series of reviews which identifies risks and explores the fitness of a planned implementation of a new product to be purchased or developed, a major upgrade, enhancement or the m</w:t>
      </w:r>
      <w:r>
        <w:t>igration of an existing system.</w:t>
      </w:r>
    </w:p>
    <w:p w14:paraId="48239C7E" w14:textId="77777777" w:rsidR="009A624C" w:rsidRDefault="009A624C" w:rsidP="009A624C"/>
    <w:p w14:paraId="29FA181C" w14:textId="4AB419FA" w:rsidR="009A624C" w:rsidRDefault="009A624C" w:rsidP="009A624C">
      <w:r>
        <w:t xml:space="preserve">All information systems used at the UF NHERI will be assessed for risk following the UF </w:t>
      </w:r>
      <w:proofErr w:type="gramStart"/>
      <w:r>
        <w:t>process, and</w:t>
      </w:r>
      <w:proofErr w:type="gramEnd"/>
      <w:r>
        <w:t xml:space="preserve"> will address all stages of the data lifecycle. </w:t>
      </w:r>
    </w:p>
    <w:p w14:paraId="759AA11C" w14:textId="77777777" w:rsidR="009A624C" w:rsidRDefault="009A624C" w:rsidP="009A624C"/>
    <w:p w14:paraId="7A7BACA1" w14:textId="77777777" w:rsidR="009A624C" w:rsidRDefault="009A624C" w:rsidP="009A624C">
      <w:r>
        <w:t>Results of the UF risk assessment process can be shared with the NHERI consortium partners to produce a cybersecurity plan that aligns information security processes and standards across the consortium.  The cybersecurity plan will include all required elements from the Cooperative Agreement Financial &amp; Administrative Terms and Conditions, such as safeguards (technical, administrative, physical), awareness and training, system security plan, incident response plan and continuous monitoring procedures to ensure successful implementation of required controls.</w:t>
      </w:r>
    </w:p>
    <w:p w14:paraId="1871821E" w14:textId="77777777" w:rsidR="00845AA3" w:rsidRPr="00B40C12" w:rsidRDefault="00845AA3" w:rsidP="00132299">
      <w:pPr>
        <w:pStyle w:val="Heading1"/>
      </w:pPr>
      <w:r w:rsidRPr="00B40C12">
        <w:t>Roles and Responsibilities</w:t>
      </w:r>
    </w:p>
    <w:p w14:paraId="784EA4A5" w14:textId="0D771B7C" w:rsidR="000F15D0" w:rsidRDefault="009A624C" w:rsidP="000F15D0">
      <w:pPr>
        <w:pStyle w:val="BodyText"/>
        <w:tabs>
          <w:tab w:val="left" w:pos="860"/>
        </w:tabs>
        <w:spacing w:before="37"/>
        <w:ind w:left="90" w:right="136"/>
        <w:rPr>
          <w:rFonts w:eastAsiaTheme="minorHAnsi" w:cs="Times New Roman"/>
          <w:sz w:val="24"/>
          <w:szCs w:val="24"/>
        </w:rPr>
      </w:pPr>
      <w:r w:rsidRPr="00C7475E">
        <w:rPr>
          <w:rFonts w:eastAsiaTheme="minorHAnsi" w:cs="Times New Roman"/>
          <w:b/>
          <w:sz w:val="24"/>
          <w:szCs w:val="24"/>
        </w:rPr>
        <w:t>Rob Adams</w:t>
      </w:r>
      <w:r w:rsidRPr="00C7475E">
        <w:rPr>
          <w:rFonts w:eastAsiaTheme="minorHAnsi" w:cs="Times New Roman"/>
          <w:sz w:val="24"/>
          <w:szCs w:val="24"/>
        </w:rPr>
        <w:t xml:space="preserve"> - </w:t>
      </w:r>
      <w:r w:rsidR="00845AA3" w:rsidRPr="00C7475E">
        <w:rPr>
          <w:rFonts w:eastAsiaTheme="minorHAnsi" w:cs="Times New Roman"/>
          <w:sz w:val="24"/>
          <w:szCs w:val="24"/>
        </w:rPr>
        <w:t xml:space="preserve"> </w:t>
      </w:r>
      <w:r w:rsidRPr="00C7475E">
        <w:rPr>
          <w:rFonts w:eastAsiaTheme="minorHAnsi" w:cs="Times New Roman"/>
          <w:sz w:val="24"/>
          <w:szCs w:val="24"/>
        </w:rPr>
        <w:t xml:space="preserve">Chief Information Security Officer (CISO) </w:t>
      </w:r>
    </w:p>
    <w:p w14:paraId="5CFBD073" w14:textId="522E56BC" w:rsidR="000F15D0" w:rsidRPr="000F15D0" w:rsidRDefault="00E5312D" w:rsidP="000F15D0">
      <w:pPr>
        <w:pStyle w:val="BodyText"/>
        <w:tabs>
          <w:tab w:val="left" w:pos="860"/>
        </w:tabs>
        <w:spacing w:before="37"/>
        <w:ind w:left="90" w:right="136"/>
        <w:rPr>
          <w:rFonts w:eastAsiaTheme="minorHAnsi" w:cs="Times New Roman"/>
          <w:sz w:val="24"/>
          <w:szCs w:val="24"/>
        </w:rPr>
      </w:pPr>
      <w:hyperlink r:id="rId8" w:history="1">
        <w:r w:rsidR="000F15D0" w:rsidRPr="005869DF">
          <w:rPr>
            <w:rStyle w:val="Hyperlink"/>
            <w:rFonts w:eastAsiaTheme="minorHAnsi" w:cs="Times New Roman"/>
            <w:b/>
            <w:sz w:val="24"/>
            <w:szCs w:val="24"/>
          </w:rPr>
          <w:t>rob@ufl.edu</w:t>
        </w:r>
      </w:hyperlink>
      <w:r w:rsidR="000F15D0">
        <w:rPr>
          <w:rFonts w:eastAsiaTheme="minorHAnsi" w:cs="Times New Roman"/>
          <w:b/>
          <w:sz w:val="24"/>
          <w:szCs w:val="24"/>
        </w:rPr>
        <w:t xml:space="preserve"> 352-273-1788 </w:t>
      </w:r>
    </w:p>
    <w:p w14:paraId="4FA1AAD0" w14:textId="77777777" w:rsidR="009A624C" w:rsidRDefault="009A624C" w:rsidP="000F15D0">
      <w:pPr>
        <w:ind w:left="810"/>
      </w:pPr>
      <w:r w:rsidRPr="000F15D0">
        <w:t>As the UF CISO, Rob Adams is ultimately responsible for ensuring appropriate policies, standards and guidelines are implemented. The Information Security Office will also be the point of coordination for any external testing of UF security controls (including those of the UF NHERI site).</w:t>
      </w:r>
    </w:p>
    <w:p w14:paraId="56C24ACE" w14:textId="77777777" w:rsidR="000F15D0" w:rsidRPr="000F15D0" w:rsidRDefault="000F15D0" w:rsidP="000F15D0">
      <w:pPr>
        <w:ind w:left="810"/>
      </w:pPr>
    </w:p>
    <w:p w14:paraId="15DC570F" w14:textId="2BCBD4AF" w:rsidR="009A624C" w:rsidRDefault="009A624C" w:rsidP="000F15D0">
      <w:pPr>
        <w:ind w:left="90"/>
      </w:pPr>
      <w:r w:rsidRPr="000F15D0">
        <w:rPr>
          <w:b/>
        </w:rPr>
        <w:t xml:space="preserve">Cheryl </w:t>
      </w:r>
      <w:proofErr w:type="spellStart"/>
      <w:r w:rsidRPr="000F15D0">
        <w:rPr>
          <w:b/>
        </w:rPr>
        <w:t>Granto</w:t>
      </w:r>
      <w:proofErr w:type="spellEnd"/>
      <w:r w:rsidRPr="000F15D0">
        <w:t xml:space="preserve"> - Information Security Manager </w:t>
      </w:r>
    </w:p>
    <w:p w14:paraId="76BC98E0" w14:textId="09C64A33" w:rsidR="000F15D0" w:rsidRPr="00263D1A" w:rsidRDefault="00E5312D" w:rsidP="000F15D0">
      <w:pPr>
        <w:ind w:left="90"/>
        <w:rPr>
          <w:b/>
        </w:rPr>
      </w:pPr>
      <w:hyperlink r:id="rId9" w:history="1">
        <w:r w:rsidR="00263D1A" w:rsidRPr="005869DF">
          <w:rPr>
            <w:rStyle w:val="Hyperlink"/>
            <w:b/>
          </w:rPr>
          <w:t>cherylgranto@ufl.edu</w:t>
        </w:r>
      </w:hyperlink>
      <w:r w:rsidR="00263D1A">
        <w:rPr>
          <w:b/>
        </w:rPr>
        <w:t xml:space="preserve"> </w:t>
      </w:r>
      <w:r w:rsidR="00263D1A" w:rsidRPr="00263D1A">
        <w:rPr>
          <w:b/>
        </w:rPr>
        <w:t xml:space="preserve">352-273-3359 </w:t>
      </w:r>
    </w:p>
    <w:p w14:paraId="775DDE67" w14:textId="77777777" w:rsidR="00114F46" w:rsidRPr="000F15D0" w:rsidRDefault="00114F46" w:rsidP="000F15D0">
      <w:pPr>
        <w:ind w:left="810"/>
      </w:pPr>
      <w:r w:rsidRPr="000F15D0">
        <w:t xml:space="preserve">Cheryl </w:t>
      </w:r>
      <w:proofErr w:type="spellStart"/>
      <w:r w:rsidRPr="000F15D0">
        <w:t>Granto</w:t>
      </w:r>
      <w:proofErr w:type="spellEnd"/>
      <w:r w:rsidRPr="000F15D0">
        <w:t xml:space="preserve"> oversees risk assessment activities for the Information Security Office and coordination with college and departmental IT units.</w:t>
      </w:r>
    </w:p>
    <w:p w14:paraId="17194492" w14:textId="77777777" w:rsidR="00263D1A" w:rsidRDefault="00263D1A" w:rsidP="000F15D0">
      <w:pPr>
        <w:ind w:left="90"/>
        <w:rPr>
          <w:b/>
        </w:rPr>
      </w:pPr>
    </w:p>
    <w:p w14:paraId="13E7B654" w14:textId="6276E3BA" w:rsidR="00114F46" w:rsidRPr="000F15D0" w:rsidRDefault="00114F46" w:rsidP="000F15D0">
      <w:pPr>
        <w:ind w:left="90"/>
      </w:pPr>
      <w:r w:rsidRPr="000F15D0">
        <w:rPr>
          <w:b/>
        </w:rPr>
        <w:t>Alicia Turner</w:t>
      </w:r>
      <w:r w:rsidRPr="000F15D0">
        <w:t xml:space="preserve"> - Business Relationship Manager</w:t>
      </w:r>
    </w:p>
    <w:p w14:paraId="3F6857CD" w14:textId="4D8EB621" w:rsidR="00263D1A" w:rsidRPr="00263D1A" w:rsidRDefault="00E5312D" w:rsidP="00263D1A">
      <w:pPr>
        <w:rPr>
          <w:b/>
        </w:rPr>
      </w:pPr>
      <w:hyperlink r:id="rId10" w:history="1">
        <w:r w:rsidR="00263D1A" w:rsidRPr="005869DF">
          <w:rPr>
            <w:rStyle w:val="Hyperlink"/>
            <w:b/>
          </w:rPr>
          <w:t>aliciatu@ufl.edu</w:t>
        </w:r>
      </w:hyperlink>
      <w:r w:rsidR="00263D1A">
        <w:rPr>
          <w:b/>
        </w:rPr>
        <w:t xml:space="preserve"> </w:t>
      </w:r>
      <w:r w:rsidR="00263D1A" w:rsidRPr="00263D1A">
        <w:rPr>
          <w:b/>
        </w:rPr>
        <w:t>352-682-6532</w:t>
      </w:r>
    </w:p>
    <w:p w14:paraId="7B092887" w14:textId="77777777" w:rsidR="00114F46" w:rsidRPr="000F15D0" w:rsidRDefault="00114F46" w:rsidP="000F15D0">
      <w:pPr>
        <w:ind w:left="810"/>
      </w:pPr>
      <w:r w:rsidRPr="000F15D0">
        <w:t>Alicia Turner serves as the UFIT Business Relationship Manager for Sponsored Research and serves as the liaison between UFIT and other units, such as the UF Office of Research or specific departments/colleges.</w:t>
      </w:r>
    </w:p>
    <w:p w14:paraId="76EDF510" w14:textId="77777777" w:rsidR="00263D1A" w:rsidRDefault="00263D1A" w:rsidP="000F15D0">
      <w:pPr>
        <w:ind w:left="90"/>
        <w:rPr>
          <w:b/>
        </w:rPr>
      </w:pPr>
    </w:p>
    <w:p w14:paraId="7E34A99B" w14:textId="77777777" w:rsidR="00114F46" w:rsidRPr="000F15D0" w:rsidRDefault="00114F46" w:rsidP="000F15D0">
      <w:pPr>
        <w:ind w:left="90"/>
      </w:pPr>
      <w:r w:rsidRPr="000F15D0">
        <w:rPr>
          <w:b/>
        </w:rPr>
        <w:t>Forrest Masters, PhD, PE</w:t>
      </w:r>
      <w:r w:rsidRPr="000F15D0">
        <w:t xml:space="preserve"> - Associate Dean for Research and Facilities</w:t>
      </w:r>
    </w:p>
    <w:p w14:paraId="21DF684A" w14:textId="6D1CCB64" w:rsidR="00263D1A" w:rsidRPr="00263D1A" w:rsidRDefault="00E5312D" w:rsidP="00263D1A">
      <w:pPr>
        <w:rPr>
          <w:b/>
        </w:rPr>
      </w:pPr>
      <w:hyperlink r:id="rId11" w:history="1">
        <w:r w:rsidR="00263D1A" w:rsidRPr="005869DF">
          <w:rPr>
            <w:rStyle w:val="Hyperlink"/>
            <w:b/>
          </w:rPr>
          <w:t>masters@eng.ufl.edu</w:t>
        </w:r>
      </w:hyperlink>
      <w:r w:rsidR="00263D1A">
        <w:rPr>
          <w:b/>
        </w:rPr>
        <w:t xml:space="preserve"> </w:t>
      </w:r>
      <w:r w:rsidR="00263D1A" w:rsidRPr="00263D1A">
        <w:rPr>
          <w:b/>
        </w:rPr>
        <w:t>352-392-0946</w:t>
      </w:r>
      <w:r w:rsidR="00114F46" w:rsidRPr="00263D1A">
        <w:rPr>
          <w:b/>
        </w:rPr>
        <w:t xml:space="preserve"> </w:t>
      </w:r>
    </w:p>
    <w:p w14:paraId="6ADA622C" w14:textId="12B0B3EE" w:rsidR="00114F46" w:rsidRPr="000F15D0" w:rsidRDefault="00114F46" w:rsidP="000F15D0">
      <w:pPr>
        <w:ind w:left="810"/>
      </w:pPr>
      <w:r w:rsidRPr="000F15D0">
        <w:t>As PI for the research project, Dr. Masters is ultimately responsible for ensuring the research team (internal and external to UF) collaborates with UF ISO personnel for implementation and compliance with policies and standards.</w:t>
      </w:r>
    </w:p>
    <w:p w14:paraId="04B39B51" w14:textId="77777777" w:rsidR="00263D1A" w:rsidRDefault="00263D1A" w:rsidP="000F15D0">
      <w:pPr>
        <w:ind w:left="90"/>
        <w:rPr>
          <w:b/>
        </w:rPr>
      </w:pPr>
    </w:p>
    <w:p w14:paraId="795A19C3" w14:textId="77777777" w:rsidR="00263D1A" w:rsidRDefault="00263D1A" w:rsidP="000F15D0">
      <w:pPr>
        <w:ind w:left="90"/>
        <w:rPr>
          <w:b/>
        </w:rPr>
      </w:pPr>
    </w:p>
    <w:p w14:paraId="109B358B" w14:textId="2D61D7F5" w:rsidR="00263D1A" w:rsidRDefault="00C7475E" w:rsidP="00263D1A">
      <w:pPr>
        <w:ind w:left="90"/>
      </w:pPr>
      <w:r w:rsidRPr="000F15D0">
        <w:rPr>
          <w:b/>
        </w:rPr>
        <w:lastRenderedPageBreak/>
        <w:t>Jennifer Rice, PhD</w:t>
      </w:r>
      <w:r w:rsidRPr="000F15D0">
        <w:t xml:space="preserve"> - Assistant Professor of Civil and Coastal Engineering</w:t>
      </w:r>
    </w:p>
    <w:p w14:paraId="5E072DA7" w14:textId="6E9D195D" w:rsidR="00C7475E" w:rsidRPr="000F15D0" w:rsidRDefault="00C7475E" w:rsidP="000F15D0">
      <w:pPr>
        <w:ind w:left="810"/>
      </w:pPr>
      <w:r w:rsidRPr="000F15D0">
        <w:t>As Co-PI, Dr. Rice is the technology leader who coordinates implementation of cyberinfrastructure and experimental research technologies and enforces compliance with NHERI data sharing policies.</w:t>
      </w:r>
    </w:p>
    <w:p w14:paraId="340F7A2F" w14:textId="77777777" w:rsidR="00263D1A" w:rsidRDefault="00263D1A" w:rsidP="000F15D0">
      <w:pPr>
        <w:ind w:left="90"/>
        <w:rPr>
          <w:b/>
        </w:rPr>
      </w:pPr>
    </w:p>
    <w:p w14:paraId="548DC1DC" w14:textId="77777777" w:rsidR="00C7475E" w:rsidRDefault="00C7475E" w:rsidP="000F15D0">
      <w:pPr>
        <w:ind w:left="90"/>
      </w:pPr>
      <w:r w:rsidRPr="000F15D0">
        <w:rPr>
          <w:b/>
        </w:rPr>
        <w:t>Justin R. Davis, PhD</w:t>
      </w:r>
      <w:r w:rsidRPr="000F15D0">
        <w:t xml:space="preserve"> - Information Security Administrator (ISA)</w:t>
      </w:r>
    </w:p>
    <w:p w14:paraId="1DA6B044" w14:textId="7EED0E4D" w:rsidR="00263D1A" w:rsidRPr="00263D1A" w:rsidRDefault="00E5312D" w:rsidP="000F15D0">
      <w:pPr>
        <w:ind w:left="90"/>
        <w:rPr>
          <w:b/>
        </w:rPr>
      </w:pPr>
      <w:hyperlink r:id="rId12" w:history="1">
        <w:r w:rsidR="00263D1A" w:rsidRPr="005869DF">
          <w:rPr>
            <w:rStyle w:val="Hyperlink"/>
            <w:b/>
          </w:rPr>
          <w:t>Justin.r.davis@ufl.edu</w:t>
        </w:r>
      </w:hyperlink>
      <w:r w:rsidR="00263D1A">
        <w:rPr>
          <w:b/>
        </w:rPr>
        <w:t xml:space="preserve"> </w:t>
      </w:r>
      <w:r w:rsidR="00263D1A" w:rsidRPr="00263D1A">
        <w:rPr>
          <w:b/>
        </w:rPr>
        <w:t>352-294-7810</w:t>
      </w:r>
    </w:p>
    <w:p w14:paraId="4B907B42" w14:textId="0BD5E0DB" w:rsidR="00C7475E" w:rsidRPr="000F15D0" w:rsidRDefault="00C7475E" w:rsidP="000F15D0">
      <w:pPr>
        <w:ind w:left="810"/>
      </w:pPr>
      <w:r w:rsidRPr="000F15D0">
        <w:t>As cyberinfrastructure manager for the NHERI experimental facility, Dr. Davis serves as the technical liaison between UF teams and consortium partners or external collaborators. The ISA role includes implementing security policy within the school and ensuring appropriate resources are provided for security.</w:t>
      </w:r>
    </w:p>
    <w:p w14:paraId="674A9A54" w14:textId="77777777" w:rsidR="00263D1A" w:rsidRDefault="00263D1A" w:rsidP="000F15D0">
      <w:pPr>
        <w:ind w:left="90"/>
        <w:rPr>
          <w:b/>
        </w:rPr>
      </w:pPr>
    </w:p>
    <w:p w14:paraId="35E27E8E" w14:textId="4D1DDFDB" w:rsidR="00263D1A" w:rsidRDefault="00C7475E" w:rsidP="00263D1A">
      <w:pPr>
        <w:ind w:left="90"/>
      </w:pPr>
      <w:r w:rsidRPr="000F15D0">
        <w:rPr>
          <w:b/>
        </w:rPr>
        <w:t>TJ Talley</w:t>
      </w:r>
      <w:r w:rsidRPr="000F15D0">
        <w:t xml:space="preserve"> - Information Security Manager (ISM)</w:t>
      </w:r>
    </w:p>
    <w:p w14:paraId="271FEC61" w14:textId="5FA28F39" w:rsidR="00C7475E" w:rsidRPr="000F15D0" w:rsidRDefault="00C7475E" w:rsidP="000F15D0">
      <w:pPr>
        <w:ind w:left="810"/>
      </w:pPr>
      <w:r w:rsidRPr="000F15D0">
        <w:t>As IT Expert and ISM for the school, TJ Talley is responsible for implementation of both information systems and security controls for those systems.</w:t>
      </w:r>
    </w:p>
    <w:p w14:paraId="50CF259B" w14:textId="77777777" w:rsidR="00263D1A" w:rsidRDefault="00263D1A" w:rsidP="000F15D0">
      <w:pPr>
        <w:ind w:left="90"/>
        <w:rPr>
          <w:b/>
        </w:rPr>
      </w:pPr>
    </w:p>
    <w:p w14:paraId="2C8D01A6" w14:textId="2747CDD7" w:rsidR="00C7475E" w:rsidRDefault="00C7475E" w:rsidP="000F15D0">
      <w:pPr>
        <w:ind w:left="90"/>
      </w:pPr>
      <w:r w:rsidRPr="000F15D0">
        <w:rPr>
          <w:b/>
        </w:rPr>
        <w:t>Shawn Lander</w:t>
      </w:r>
      <w:r w:rsidRPr="000F15D0">
        <w:t xml:space="preserve"> - IT Directory and Information Security Manager (ISM)</w:t>
      </w:r>
    </w:p>
    <w:p w14:paraId="0E21BF56" w14:textId="7BB74EAB" w:rsidR="00263D1A" w:rsidRPr="000F15D0" w:rsidRDefault="00E5312D" w:rsidP="000F15D0">
      <w:pPr>
        <w:ind w:left="90"/>
      </w:pPr>
      <w:hyperlink r:id="rId13" w:history="1">
        <w:r w:rsidR="00263D1A" w:rsidRPr="005869DF">
          <w:rPr>
            <w:rStyle w:val="Hyperlink"/>
            <w:b/>
          </w:rPr>
          <w:t>shawn@eng.ufl.edu</w:t>
        </w:r>
      </w:hyperlink>
      <w:r w:rsidR="00263D1A">
        <w:rPr>
          <w:b/>
        </w:rPr>
        <w:t xml:space="preserve"> </w:t>
      </w:r>
      <w:r w:rsidR="00263D1A" w:rsidRPr="00263D1A">
        <w:rPr>
          <w:b/>
        </w:rPr>
        <w:t>352-392-9217</w:t>
      </w:r>
      <w:r w:rsidR="00263D1A">
        <w:tab/>
      </w:r>
    </w:p>
    <w:p w14:paraId="7A5D70A5" w14:textId="07053A60" w:rsidR="00C7475E" w:rsidRPr="000F15D0" w:rsidRDefault="00C7475E" w:rsidP="000F15D0">
      <w:pPr>
        <w:ind w:left="810"/>
        <w:rPr>
          <w:rFonts w:cs="Arial"/>
          <w:b/>
          <w:sz w:val="20"/>
          <w:szCs w:val="20"/>
          <w:lang w:val="en"/>
        </w:rPr>
      </w:pPr>
      <w:r w:rsidRPr="000F15D0">
        <w:t>As IT Director for the College of Engineering, Shawn Lander provides technical oversight and guidance to ESSIE in regards to technology, policy and security control implementation</w:t>
      </w:r>
      <w:r w:rsidRPr="000F15D0">
        <w:rPr>
          <w:rFonts w:cs="Arial"/>
          <w:sz w:val="20"/>
          <w:szCs w:val="20"/>
          <w:lang w:val="en"/>
        </w:rPr>
        <w:t>.</w:t>
      </w:r>
    </w:p>
    <w:p w14:paraId="49132E27" w14:textId="4B3D084B" w:rsidR="00845AA3" w:rsidRPr="00B40C12" w:rsidRDefault="00132299" w:rsidP="00132299">
      <w:pPr>
        <w:pStyle w:val="Heading2"/>
      </w:pPr>
      <w:r>
        <w:t xml:space="preserve">Site Management Team </w:t>
      </w:r>
    </w:p>
    <w:p w14:paraId="5E1C05C0" w14:textId="7E15F98C" w:rsidR="00132299" w:rsidRDefault="00132299" w:rsidP="001A3C76">
      <w:pPr>
        <w:pStyle w:val="BodyText"/>
        <w:tabs>
          <w:tab w:val="left" w:pos="860"/>
        </w:tabs>
        <w:spacing w:before="37"/>
        <w:ind w:right="136"/>
      </w:pPr>
      <w:r>
        <w:t>Overall</w:t>
      </w:r>
      <w:r w:rsidR="00845AA3" w:rsidRPr="00B40C12">
        <w:t xml:space="preserve"> responsibility for the </w:t>
      </w:r>
      <w:r>
        <w:t>security of the facility lies</w:t>
      </w:r>
      <w:r w:rsidR="00845AA3" w:rsidRPr="00B40C12">
        <w:t xml:space="preserve"> with the management team comprised of </w:t>
      </w:r>
      <w:r w:rsidR="00C7475E">
        <w:t xml:space="preserve">Rob Adams, Cheryl </w:t>
      </w:r>
      <w:proofErr w:type="spellStart"/>
      <w:r w:rsidR="00C7475E">
        <w:t>Granto</w:t>
      </w:r>
      <w:proofErr w:type="spellEnd"/>
      <w:r w:rsidR="00C7475E">
        <w:t xml:space="preserve">, Forrest Masters PhD PE, Jennifer Rice PhD, Justin R </w:t>
      </w:r>
      <w:proofErr w:type="spellStart"/>
      <w:r w:rsidR="00C7475E">
        <w:t>Davice</w:t>
      </w:r>
      <w:proofErr w:type="spellEnd"/>
      <w:r w:rsidR="00C7475E">
        <w:t xml:space="preserve"> PhD, TJ Talley, and Shawn Lander. </w:t>
      </w:r>
      <w:r w:rsidR="00845AA3" w:rsidRPr="00B40C12">
        <w:t xml:space="preserve">This management team will be assisted by the DesignSafe CSO in the matter of the cybersecurity program and its overall goals, objectives, and priorities in order to support the overall mission of </w:t>
      </w:r>
      <w:r w:rsidR="00E05F74">
        <w:t>NHERI</w:t>
      </w:r>
      <w:r w:rsidR="00845AA3" w:rsidRPr="00B40C12">
        <w:t xml:space="preserve">. </w:t>
      </w:r>
    </w:p>
    <w:p w14:paraId="741591EE" w14:textId="35218D08" w:rsidR="00132299" w:rsidRPr="00B40C12" w:rsidRDefault="00132299" w:rsidP="00132299">
      <w:pPr>
        <w:pStyle w:val="Heading2"/>
      </w:pPr>
      <w:r>
        <w:t xml:space="preserve">Site Security Contact </w:t>
      </w:r>
    </w:p>
    <w:p w14:paraId="1345DB05" w14:textId="76581791" w:rsidR="00845AA3" w:rsidRPr="00B40C12" w:rsidRDefault="00132299" w:rsidP="00845AA3">
      <w:pPr>
        <w:pStyle w:val="BodyText"/>
        <w:tabs>
          <w:tab w:val="left" w:pos="860"/>
        </w:tabs>
        <w:spacing w:before="37"/>
        <w:ind w:right="136"/>
      </w:pPr>
      <w:r>
        <w:t xml:space="preserve">The site security contact, </w:t>
      </w:r>
      <w:r w:rsidR="00C7475E" w:rsidRPr="00C7475E">
        <w:t xml:space="preserve">Forrest Masters </w:t>
      </w:r>
      <w:r>
        <w:t xml:space="preserve">is responsible for day-to-day management of cybersecurity at each site.  The contact will also serve as the liaison between the site and the DesignSafe Chief Security Officer. </w:t>
      </w:r>
    </w:p>
    <w:p w14:paraId="79F016F8" w14:textId="77777777" w:rsidR="00845AA3" w:rsidRPr="00B40C12" w:rsidRDefault="00845AA3" w:rsidP="00132299">
      <w:pPr>
        <w:pStyle w:val="Heading2"/>
      </w:pPr>
      <w:r w:rsidRPr="00B40C12">
        <w:t>DesignSafe Chief Security Officer</w:t>
      </w:r>
    </w:p>
    <w:p w14:paraId="310FEB06" w14:textId="3995D536" w:rsidR="00845AA3" w:rsidRPr="00B40C12" w:rsidRDefault="00845AA3" w:rsidP="00B73129">
      <w:pPr>
        <w:pStyle w:val="BodyText"/>
        <w:tabs>
          <w:tab w:val="left" w:pos="860"/>
        </w:tabs>
        <w:spacing w:before="37"/>
        <w:ind w:right="136"/>
      </w:pPr>
      <w:r w:rsidRPr="00B40C12">
        <w:t xml:space="preserve">The DesignSafe CSO Nathaniel Mendoza, </w:t>
      </w:r>
      <w:r>
        <w:t xml:space="preserve">also </w:t>
      </w:r>
      <w:r w:rsidRPr="00B40C12">
        <w:t>TACC’s Information Security Officer, directs DesignSafe’s day-to-day management of its security program, including maintaining a secure environment for the DesignSafe CI, providing security advice to the DesignSafe user community, conducting regular security audits, and coordinating all security related interactions among the various participating NHERI organizations as the leader of the Security Working Group.</w:t>
      </w:r>
      <w:r>
        <w:tab/>
      </w:r>
    </w:p>
    <w:p w14:paraId="4AB80AF0" w14:textId="77777777" w:rsidR="00845AA3" w:rsidRPr="00B40C12" w:rsidRDefault="00845AA3" w:rsidP="00132299">
      <w:pPr>
        <w:pStyle w:val="Heading2"/>
      </w:pPr>
      <w:r w:rsidRPr="00B40C12">
        <w:t>Security Working Group</w:t>
      </w:r>
    </w:p>
    <w:p w14:paraId="11887727" w14:textId="39D6579A" w:rsidR="00845AA3" w:rsidRPr="00B40C12" w:rsidRDefault="00B73129" w:rsidP="00845AA3">
      <w:pPr>
        <w:pStyle w:val="BodyText"/>
        <w:tabs>
          <w:tab w:val="left" w:pos="860"/>
        </w:tabs>
        <w:spacing w:before="37"/>
        <w:ind w:right="136"/>
      </w:pPr>
      <w:r>
        <w:t>The security working group consists of t</w:t>
      </w:r>
      <w:r w:rsidR="00C7475E">
        <w:t xml:space="preserve">he </w:t>
      </w:r>
      <w:r w:rsidRPr="00B40C12">
        <w:t xml:space="preserve">local site security points of contact from </w:t>
      </w:r>
      <w:r>
        <w:t xml:space="preserve">each of the </w:t>
      </w:r>
      <w:r w:rsidRPr="00B40C12">
        <w:t>NHERI awardees</w:t>
      </w:r>
      <w:r w:rsidR="0011767C">
        <w:t>, including the</w:t>
      </w:r>
      <w:r w:rsidRPr="00B40C12">
        <w:t xml:space="preserve"> </w:t>
      </w:r>
      <w:r>
        <w:t xml:space="preserve">DesignSafe CSO.  The working group will discuss best practices, emergent security issues, and process for audits. </w:t>
      </w:r>
      <w:r w:rsidR="00845AA3" w:rsidRPr="00B40C12">
        <w:t xml:space="preserve">Communications will be maintained via Zoom virtual meeting and via an email list. </w:t>
      </w:r>
    </w:p>
    <w:p w14:paraId="3B4FBE1A" w14:textId="77777777" w:rsidR="00845AA3" w:rsidRDefault="00845AA3" w:rsidP="00845AA3">
      <w:pPr>
        <w:pStyle w:val="BodyText"/>
        <w:tabs>
          <w:tab w:val="left" w:pos="860"/>
        </w:tabs>
        <w:spacing w:before="37"/>
        <w:ind w:right="136"/>
      </w:pPr>
    </w:p>
    <w:p w14:paraId="7D3CC85A" w14:textId="77777777" w:rsidR="00845AA3" w:rsidRDefault="00845AA3" w:rsidP="0011767C">
      <w:pPr>
        <w:pStyle w:val="Heading1"/>
      </w:pPr>
      <w:r>
        <w:t>Administrative Safeguards</w:t>
      </w:r>
    </w:p>
    <w:p w14:paraId="1FDF2DE4" w14:textId="77777777" w:rsidR="00845AA3" w:rsidRPr="003E57EF" w:rsidRDefault="00845AA3" w:rsidP="0011767C">
      <w:pPr>
        <w:pStyle w:val="Heading2"/>
      </w:pPr>
      <w:r>
        <w:t>Risk Assessment</w:t>
      </w:r>
    </w:p>
    <w:p w14:paraId="4FF04DC8" w14:textId="77777777" w:rsidR="00845AA3" w:rsidRPr="00845CE9" w:rsidRDefault="00845AA3" w:rsidP="0011767C">
      <w:pPr>
        <w:pStyle w:val="Heading3"/>
      </w:pPr>
      <w:bookmarkStart w:id="1" w:name="_Toc455746711"/>
      <w:r>
        <w:t>Risk</w:t>
      </w:r>
      <w:r w:rsidRPr="00845CE9">
        <w:t xml:space="preserve"> </w:t>
      </w:r>
      <w:bookmarkEnd w:id="1"/>
      <w:r>
        <w:t>Assessment Policy and Procedures</w:t>
      </w:r>
    </w:p>
    <w:p w14:paraId="50E4D636" w14:textId="77777777" w:rsidR="00845AA3" w:rsidRPr="00845CE9" w:rsidRDefault="00845AA3" w:rsidP="00845AA3">
      <w:pPr>
        <w:pStyle w:val="BodyText"/>
        <w:tabs>
          <w:tab w:val="left" w:pos="860"/>
        </w:tabs>
        <w:spacing w:before="37"/>
        <w:ind w:right="136"/>
      </w:pPr>
      <w:r>
        <w:t>DesignSafe’s</w:t>
      </w:r>
      <w:r w:rsidRPr="00845CE9">
        <w:t xml:space="preserve"> risk assessment policy and procedures are developed, reviewed, updated and disseminated by the </w:t>
      </w:r>
      <w:r>
        <w:t>DesignSafe C</w:t>
      </w:r>
      <w:r w:rsidRPr="00845CE9">
        <w:t xml:space="preserve">SO. This is done annually, or as needed if urgent security information becomes available and new resources are brought online in the information system. Risk assessment identifies threats to and vulnerabilities of </w:t>
      </w:r>
      <w:r>
        <w:t>DesignSafe</w:t>
      </w:r>
      <w:r w:rsidRPr="00845CE9">
        <w:t>’s information system.</w:t>
      </w:r>
    </w:p>
    <w:p w14:paraId="75FAA650" w14:textId="77777777" w:rsidR="00845AA3" w:rsidRPr="00845CE9" w:rsidRDefault="00845AA3" w:rsidP="00845AA3">
      <w:pPr>
        <w:pStyle w:val="BodyText"/>
        <w:tabs>
          <w:tab w:val="left" w:pos="860"/>
        </w:tabs>
        <w:spacing w:before="37"/>
        <w:ind w:left="0" w:right="136"/>
      </w:pPr>
    </w:p>
    <w:p w14:paraId="2BCB3CF4" w14:textId="77777777" w:rsidR="00845AA3" w:rsidRPr="00845CE9" w:rsidRDefault="00845AA3" w:rsidP="0011767C">
      <w:pPr>
        <w:pStyle w:val="Heading3"/>
      </w:pPr>
      <w:r>
        <w:t>Risk</w:t>
      </w:r>
      <w:r w:rsidRPr="00845CE9">
        <w:t xml:space="preserve"> </w:t>
      </w:r>
      <w:r>
        <w:t>Assessment</w:t>
      </w:r>
    </w:p>
    <w:p w14:paraId="2EEE3A14" w14:textId="77777777" w:rsidR="00845AA3" w:rsidRPr="00845CE9" w:rsidRDefault="00845AA3" w:rsidP="00845AA3">
      <w:pPr>
        <w:pStyle w:val="BodyText"/>
        <w:tabs>
          <w:tab w:val="left" w:pos="860"/>
        </w:tabs>
        <w:spacing w:before="37"/>
        <w:ind w:right="136"/>
      </w:pPr>
      <w:r>
        <w:t xml:space="preserve">DesignSafe </w:t>
      </w:r>
      <w:r w:rsidRPr="00845CE9">
        <w:t xml:space="preserve">risk assessment takes into account vulnerabilities, threat sources and security controls that are planned or in place to determine the resulting level of residual risk posed to </w:t>
      </w:r>
      <w:r>
        <w:t>DesignSafe</w:t>
      </w:r>
      <w:r w:rsidRPr="00845CE9">
        <w:t xml:space="preserve">’s operations, assets or individuals based on the operation of the information system. Risk assessments are conducted and results documented as threats are identified and addressed. </w:t>
      </w:r>
    </w:p>
    <w:p w14:paraId="0436D827" w14:textId="77777777" w:rsidR="00845AA3" w:rsidRDefault="00845AA3" w:rsidP="00845AA3">
      <w:pPr>
        <w:pStyle w:val="BodyText"/>
        <w:tabs>
          <w:tab w:val="left" w:pos="860"/>
        </w:tabs>
        <w:spacing w:before="37"/>
        <w:ind w:left="0" w:right="136"/>
        <w:rPr>
          <w:b/>
          <w:bCs/>
        </w:rPr>
      </w:pPr>
    </w:p>
    <w:p w14:paraId="470EFD33" w14:textId="77777777" w:rsidR="00845AA3" w:rsidRPr="0003187A" w:rsidRDefault="00845AA3" w:rsidP="0011767C">
      <w:pPr>
        <w:pStyle w:val="Heading3"/>
      </w:pPr>
      <w:r>
        <w:t>Audit</w:t>
      </w:r>
    </w:p>
    <w:p w14:paraId="25146DBD" w14:textId="77777777" w:rsidR="00845AA3" w:rsidRDefault="00845AA3" w:rsidP="00845AA3">
      <w:pPr>
        <w:pStyle w:val="BodyText"/>
        <w:tabs>
          <w:tab w:val="left" w:pos="860"/>
        </w:tabs>
        <w:spacing w:before="37"/>
        <w:ind w:right="136"/>
      </w:pPr>
      <w:r w:rsidRPr="00B40C12">
        <w:t xml:space="preserve">DesignSafe’s comprehensive cybersecurity approach includes a security audit at each of the </w:t>
      </w:r>
      <w:r>
        <w:t>NHERI Awardees</w:t>
      </w:r>
      <w:r w:rsidRPr="00B40C12">
        <w:t xml:space="preserve"> performed once a year. The audits use security best practices to verify that each serv</w:t>
      </w:r>
      <w:r>
        <w:t xml:space="preserve">er-class system operating at a NHERI Awardee </w:t>
      </w:r>
      <w:r w:rsidRPr="00B40C12">
        <w:t xml:space="preserve">site is operating in a manner to limit the potential for security incidents and breaches. Security incidents and data breaches could invalidate data being collected by scientists, damage experimental equipment, and spread the damage to the DesignSafe resources. No system can be perfectly secure, but regular audits of the system provide vital information for the regular upkeep and secure maintenance of the server systems. </w:t>
      </w:r>
    </w:p>
    <w:p w14:paraId="1BC2A7D5" w14:textId="77777777" w:rsidR="00845AA3" w:rsidRPr="00B40C12" w:rsidRDefault="00845AA3" w:rsidP="00845AA3">
      <w:pPr>
        <w:pStyle w:val="BodyText"/>
        <w:tabs>
          <w:tab w:val="left" w:pos="860"/>
        </w:tabs>
        <w:spacing w:before="37"/>
        <w:ind w:right="136"/>
      </w:pPr>
    </w:p>
    <w:p w14:paraId="15AD4463" w14:textId="77777777" w:rsidR="00845AA3" w:rsidRPr="0003187A" w:rsidRDefault="00845AA3" w:rsidP="0011767C">
      <w:pPr>
        <w:pStyle w:val="Heading3"/>
      </w:pPr>
      <w:r>
        <w:t>Schedule for Audits</w:t>
      </w:r>
    </w:p>
    <w:p w14:paraId="332551AC" w14:textId="77777777" w:rsidR="00845AA3" w:rsidRPr="00B40C12" w:rsidRDefault="00845AA3" w:rsidP="00845AA3">
      <w:pPr>
        <w:pStyle w:val="BodyText"/>
        <w:tabs>
          <w:tab w:val="left" w:pos="860"/>
        </w:tabs>
        <w:spacing w:before="37"/>
        <w:ind w:right="136"/>
      </w:pPr>
      <w:r w:rsidRPr="00B40C12">
        <w:t xml:space="preserve">Each </w:t>
      </w:r>
      <w:r>
        <w:t xml:space="preserve">NHERI Awardee </w:t>
      </w:r>
      <w:r w:rsidRPr="00B40C12">
        <w:t xml:space="preserve">together with the DesignSafe CSO will determine an appropriate time schedule for performing the audit. This will be coordinated within 6 months after NSF awards are made with each </w:t>
      </w:r>
      <w:r>
        <w:t>NHERI Awardee</w:t>
      </w:r>
      <w:r w:rsidRPr="00B40C12">
        <w:t xml:space="preserve">. The audits will generally be done once a </w:t>
      </w:r>
      <w:proofErr w:type="gramStart"/>
      <w:r w:rsidRPr="00B40C12">
        <w:t>year, and</w:t>
      </w:r>
      <w:proofErr w:type="gramEnd"/>
      <w:r w:rsidRPr="00B40C12">
        <w:t xml:space="preserve"> will be performed virtually. However, in the event that a security incident occurs then further audits may be done. In all cases, the timing for the audit will be decided in consultation with the </w:t>
      </w:r>
      <w:r>
        <w:t>NHERI Awardee</w:t>
      </w:r>
      <w:r w:rsidRPr="00B40C12">
        <w:t>, such that the site operations are minimally affected and the resources of the site IT staff are optimally utilized.</w:t>
      </w:r>
    </w:p>
    <w:p w14:paraId="39BB06CE" w14:textId="77777777" w:rsidR="00845AA3" w:rsidRPr="00B40C12" w:rsidRDefault="00845AA3" w:rsidP="00845AA3">
      <w:pPr>
        <w:pStyle w:val="BodyText"/>
        <w:tabs>
          <w:tab w:val="left" w:pos="860"/>
        </w:tabs>
        <w:spacing w:before="37"/>
        <w:ind w:right="136"/>
      </w:pPr>
    </w:p>
    <w:p w14:paraId="5700E613" w14:textId="77777777" w:rsidR="00845AA3" w:rsidRPr="0003187A" w:rsidRDefault="00845AA3" w:rsidP="0011767C">
      <w:pPr>
        <w:pStyle w:val="Heading3"/>
      </w:pPr>
      <w:r>
        <w:t>Actions following the Audits</w:t>
      </w:r>
    </w:p>
    <w:p w14:paraId="58874D8E" w14:textId="77777777" w:rsidR="00845AA3" w:rsidRPr="00B40C12" w:rsidRDefault="00845AA3" w:rsidP="00845AA3">
      <w:pPr>
        <w:pStyle w:val="BodyText"/>
        <w:tabs>
          <w:tab w:val="left" w:pos="860"/>
        </w:tabs>
        <w:spacing w:before="37"/>
        <w:ind w:right="136"/>
      </w:pPr>
      <w:r w:rsidRPr="00B40C12">
        <w:t xml:space="preserve">If there are audit findings, the DesignSafe CSO will recommend corrective actions for the </w:t>
      </w:r>
      <w:r>
        <w:t xml:space="preserve">NHERI Awardee </w:t>
      </w:r>
      <w:r w:rsidRPr="00B40C12">
        <w:t xml:space="preserve">to implement. A formal report will be generated once a year that summarizes the results of the audits for each </w:t>
      </w:r>
      <w:r>
        <w:t>NHERI Awardee</w:t>
      </w:r>
      <w:r w:rsidRPr="00B40C12">
        <w:t>. The report will identify the assets that were a part of the audit, where the audit did find vulnerabilities and security breaches, and remediation actions, both short term and long term. This report will not be for public disclosure, keeping in view the security sensitive nature of the information, but will be made available to the NSF.</w:t>
      </w:r>
    </w:p>
    <w:p w14:paraId="59B71494" w14:textId="77777777" w:rsidR="00845AA3" w:rsidRPr="00303947" w:rsidRDefault="00845AA3" w:rsidP="00845AA3">
      <w:pPr>
        <w:pStyle w:val="BodyText"/>
        <w:tabs>
          <w:tab w:val="left" w:pos="860"/>
        </w:tabs>
        <w:spacing w:before="37"/>
        <w:ind w:left="0" w:right="136"/>
      </w:pPr>
    </w:p>
    <w:p w14:paraId="5F9D635B" w14:textId="77777777" w:rsidR="00845AA3" w:rsidRPr="00A96948" w:rsidRDefault="00845AA3" w:rsidP="0011767C">
      <w:pPr>
        <w:pStyle w:val="Heading1"/>
      </w:pPr>
      <w:r>
        <w:lastRenderedPageBreak/>
        <w:t>Technical Safeguards</w:t>
      </w:r>
    </w:p>
    <w:p w14:paraId="33F981FC" w14:textId="77777777" w:rsidR="00845AA3" w:rsidRPr="00B40C12" w:rsidRDefault="00845AA3" w:rsidP="00C15E98">
      <w:pPr>
        <w:pStyle w:val="Heading2"/>
      </w:pPr>
      <w:r w:rsidRPr="00B40C12">
        <w:t xml:space="preserve">Proactive Security Monitoring and Detection </w:t>
      </w:r>
    </w:p>
    <w:p w14:paraId="77351536" w14:textId="548F0512" w:rsidR="00845AA3" w:rsidRPr="00B40C12" w:rsidRDefault="00A95A34" w:rsidP="00732A63">
      <w:pPr>
        <w:pStyle w:val="BodyText"/>
        <w:tabs>
          <w:tab w:val="left" w:pos="860"/>
        </w:tabs>
        <w:spacing w:before="37"/>
        <w:ind w:right="136"/>
      </w:pPr>
      <w:r>
        <w:t xml:space="preserve">Intrusion detection will be provided on institution infrastructure and network access points. The Security office will also provide client application monitoring of various services for </w:t>
      </w:r>
      <w:r w:rsidR="000470B3">
        <w:t xml:space="preserve">commonly found exploits and security flaws. Members will have to apply for which services they would like to have monitored and the security office will review the requests on a case by case basis. </w:t>
      </w:r>
    </w:p>
    <w:p w14:paraId="4A7BA0D8" w14:textId="77777777" w:rsidR="00845AA3" w:rsidRPr="00845CE9" w:rsidRDefault="00845AA3" w:rsidP="00C15E98">
      <w:pPr>
        <w:pStyle w:val="Heading2"/>
      </w:pPr>
      <w:r>
        <w:t>Vulnerability</w:t>
      </w:r>
      <w:r w:rsidRPr="00845CE9">
        <w:t xml:space="preserve"> </w:t>
      </w:r>
      <w:r>
        <w:t>Scanning</w:t>
      </w:r>
    </w:p>
    <w:p w14:paraId="57A5F3AA" w14:textId="6586F4E9" w:rsidR="003D6E00" w:rsidRDefault="000F15D0" w:rsidP="00845AA3">
      <w:pPr>
        <w:pStyle w:val="BodyText"/>
        <w:tabs>
          <w:tab w:val="left" w:pos="860"/>
        </w:tabs>
        <w:spacing w:before="37"/>
        <w:ind w:right="136"/>
      </w:pPr>
      <w:r>
        <w:t xml:space="preserve">The </w:t>
      </w:r>
      <w:r w:rsidR="00732A63">
        <w:t>Institution provides Vulnerability scanning to registers University systems. The devices must be in the control of the institution and must be made aware of which client services to monitor.</w:t>
      </w:r>
    </w:p>
    <w:p w14:paraId="4C81C0D4" w14:textId="7B4FBC5B" w:rsidR="003D6E00" w:rsidRDefault="00C15E98" w:rsidP="00C15E98">
      <w:pPr>
        <w:pStyle w:val="Heading2"/>
      </w:pPr>
      <w:r>
        <w:t>Recommended Minimum standards for systems:</w:t>
      </w:r>
    </w:p>
    <w:p w14:paraId="0A4516FA" w14:textId="5773DC03" w:rsidR="00C15E98" w:rsidRDefault="00114F46" w:rsidP="00C15E98">
      <w:r>
        <w:t xml:space="preserve">The following recommendations are suggested for all sites participating in the </w:t>
      </w:r>
      <w:r w:rsidR="000470B3">
        <w:t>DesignSafe</w:t>
      </w:r>
      <w:r>
        <w:t xml:space="preserve"> project.</w:t>
      </w:r>
    </w:p>
    <w:p w14:paraId="45D497E3" w14:textId="430DCE50" w:rsidR="00C15E98" w:rsidRDefault="00C15E98" w:rsidP="00C15E98">
      <w:pPr>
        <w:pStyle w:val="Heading3"/>
      </w:pPr>
      <w:r>
        <w:t>Backups</w:t>
      </w:r>
    </w:p>
    <w:p w14:paraId="07D3B81C" w14:textId="3AA3708C" w:rsidR="00C15E98" w:rsidRPr="00C15E98" w:rsidRDefault="00C15E98" w:rsidP="0017497D">
      <w:pPr>
        <w:pStyle w:val="BodyText"/>
        <w:numPr>
          <w:ilvl w:val="0"/>
          <w:numId w:val="5"/>
        </w:numPr>
        <w:rPr>
          <w:rFonts w:cs="Times New Roman"/>
          <w:sz w:val="24"/>
          <w:szCs w:val="24"/>
        </w:rPr>
      </w:pPr>
      <w:r w:rsidRPr="00C15E98">
        <w:t>System administrators should establish and follow a procedure to carry out regular system backups.</w:t>
      </w:r>
    </w:p>
    <w:p w14:paraId="2B218DFE" w14:textId="17AE7308" w:rsidR="00C15E98" w:rsidRPr="00C15E98" w:rsidRDefault="00C15E98" w:rsidP="0017497D">
      <w:pPr>
        <w:pStyle w:val="BodyText"/>
        <w:numPr>
          <w:ilvl w:val="0"/>
          <w:numId w:val="5"/>
        </w:numPr>
        <w:rPr>
          <w:rFonts w:cs="Times New Roman"/>
          <w:sz w:val="24"/>
          <w:szCs w:val="24"/>
        </w:rPr>
      </w:pPr>
      <w:r w:rsidRPr="00C15E98">
        <w:t xml:space="preserve">Backups must be verified </w:t>
      </w:r>
      <w:r>
        <w:t>on a regular schedule</w:t>
      </w:r>
      <w:r w:rsidRPr="00C15E98">
        <w:t>, either through automated verification, through customer restores, or through trial restores.</w:t>
      </w:r>
    </w:p>
    <w:p w14:paraId="46DFC4CE" w14:textId="2D5EE02A" w:rsidR="00C15E98" w:rsidRPr="00845CE9" w:rsidRDefault="00C15E98" w:rsidP="009D79E6">
      <w:pPr>
        <w:pStyle w:val="BodyText"/>
        <w:numPr>
          <w:ilvl w:val="0"/>
          <w:numId w:val="5"/>
        </w:numPr>
      </w:pPr>
      <w:r w:rsidRPr="00C15E98">
        <w:t>Systems administrators must maintain documented restoration procedures for systems and the data on those systems.</w:t>
      </w:r>
    </w:p>
    <w:p w14:paraId="4E9C39BC" w14:textId="7C88E78E" w:rsidR="0017497D" w:rsidRPr="009D79E6" w:rsidRDefault="00C15E98" w:rsidP="009D79E6">
      <w:pPr>
        <w:pStyle w:val="Heading3"/>
        <w:rPr>
          <w:rFonts w:eastAsia="Times New Roman"/>
        </w:rPr>
      </w:pPr>
      <w:r>
        <w:t>Change Management</w:t>
      </w:r>
    </w:p>
    <w:p w14:paraId="0F1395C2" w14:textId="03C0A6D6" w:rsidR="0017497D" w:rsidRPr="0017497D" w:rsidRDefault="0017497D" w:rsidP="009D79E6">
      <w:pPr>
        <w:pStyle w:val="BodyText"/>
        <w:numPr>
          <w:ilvl w:val="0"/>
          <w:numId w:val="7"/>
        </w:numPr>
        <w:ind w:left="360"/>
      </w:pPr>
      <w:r>
        <w:t>A documented change control process should be in place for production systems.</w:t>
      </w:r>
    </w:p>
    <w:p w14:paraId="2BCA8446" w14:textId="159E54F0" w:rsidR="0017497D" w:rsidRPr="0017497D" w:rsidRDefault="0017497D" w:rsidP="009D79E6">
      <w:pPr>
        <w:pStyle w:val="BodyText"/>
        <w:numPr>
          <w:ilvl w:val="0"/>
          <w:numId w:val="7"/>
        </w:numPr>
        <w:ind w:left="360"/>
      </w:pPr>
      <w:r>
        <w:t>System changes should be evaluated prior to being applied in a production environment. Patches should be tested prior to installation in the production environment if a test environment is available. If a test environment is not available, the lack of patch testing should be communicated to users/customers, along with possible changes in the environment due to the patch, before the patch is applied.</w:t>
      </w:r>
    </w:p>
    <w:p w14:paraId="3A8F4BDD" w14:textId="685A48F6" w:rsidR="00C15E98" w:rsidRDefault="00C15E98" w:rsidP="00C15E98">
      <w:pPr>
        <w:pStyle w:val="Heading3"/>
      </w:pPr>
      <w:r>
        <w:t>Virus Prevention</w:t>
      </w:r>
    </w:p>
    <w:p w14:paraId="40E2A25C" w14:textId="517B7073" w:rsidR="0017497D" w:rsidRDefault="0017497D" w:rsidP="0017497D">
      <w:pPr>
        <w:pStyle w:val="BodyText"/>
        <w:numPr>
          <w:ilvl w:val="0"/>
          <w:numId w:val="8"/>
        </w:numPr>
        <w:rPr>
          <w:rFonts w:cs="Times New Roman"/>
          <w:sz w:val="24"/>
          <w:szCs w:val="24"/>
        </w:rPr>
      </w:pPr>
      <w:r>
        <w:rPr>
          <w:shd w:val="clear" w:color="auto" w:fill="F9F9F9"/>
        </w:rPr>
        <w:t>Anti-virus software must be installed, enabled, and updated regularly.</w:t>
      </w:r>
    </w:p>
    <w:p w14:paraId="10CD1385" w14:textId="673684EC" w:rsidR="0017497D" w:rsidRPr="0017497D" w:rsidRDefault="0017497D" w:rsidP="009D79E6">
      <w:pPr>
        <w:pStyle w:val="BodyText"/>
        <w:numPr>
          <w:ilvl w:val="0"/>
          <w:numId w:val="8"/>
        </w:numPr>
        <w:rPr>
          <w:rFonts w:cs="Times New Roman"/>
          <w:sz w:val="24"/>
          <w:szCs w:val="24"/>
        </w:rPr>
      </w:pPr>
      <w:r>
        <w:rPr>
          <w:shd w:val="clear" w:color="auto" w:fill="FFFFFF"/>
        </w:rPr>
        <w:t>Installing and enabling anti-spyware software is required on any computer if the machine is used by administrators to browse Web sites not specifically related to the administration of the machine.</w:t>
      </w:r>
    </w:p>
    <w:p w14:paraId="265E3FAB" w14:textId="2FA89444" w:rsidR="00C15E98" w:rsidRDefault="00C15E98" w:rsidP="00C15E98">
      <w:pPr>
        <w:pStyle w:val="Heading3"/>
      </w:pPr>
      <w:r>
        <w:t>System Hardening</w:t>
      </w:r>
    </w:p>
    <w:p w14:paraId="7076AE37" w14:textId="77777777" w:rsidR="009D79E6" w:rsidRDefault="009D79E6" w:rsidP="009D79E6"/>
    <w:p w14:paraId="385FF996" w14:textId="7F49516B" w:rsidR="009D79E6" w:rsidRDefault="009D79E6" w:rsidP="009D79E6">
      <w:pPr>
        <w:pStyle w:val="BodyText"/>
        <w:numPr>
          <w:ilvl w:val="0"/>
          <w:numId w:val="10"/>
        </w:numPr>
        <w:rPr>
          <w:shd w:val="clear" w:color="auto" w:fill="FFFFFF"/>
        </w:rPr>
      </w:pPr>
      <w:r>
        <w:t>Systems should be initially set up in a protected network environment or by using a method that assures the system is not accessible via a potentially hostile network until it is secured.</w:t>
      </w:r>
    </w:p>
    <w:p w14:paraId="3A990214" w14:textId="2B73A178" w:rsidR="009D79E6" w:rsidRDefault="009D79E6" w:rsidP="009D79E6">
      <w:pPr>
        <w:pStyle w:val="BodyText"/>
        <w:numPr>
          <w:ilvl w:val="0"/>
          <w:numId w:val="10"/>
        </w:numPr>
      </w:pPr>
      <w:r>
        <w:t xml:space="preserve">Operating system and application services security patches should be installed expediently </w:t>
      </w:r>
      <w:r w:rsidR="000470B3">
        <w:t>and, in a manner,</w:t>
      </w:r>
      <w:r>
        <w:t xml:space="preserve"> consistent with change management procedures. Strongly consider disabling products that no longer receive security updates from the vendor (e.g., unsupported).</w:t>
      </w:r>
    </w:p>
    <w:p w14:paraId="140676A6" w14:textId="5BA338BD" w:rsidR="009D79E6" w:rsidRPr="009D79E6" w:rsidRDefault="009D79E6" w:rsidP="009D79E6">
      <w:pPr>
        <w:pStyle w:val="BodyText"/>
        <w:numPr>
          <w:ilvl w:val="0"/>
          <w:numId w:val="10"/>
        </w:numPr>
      </w:pPr>
      <w:r>
        <w:lastRenderedPageBreak/>
        <w:t>Services, applications, and user accounts that are not being utilized should be disabled or uninstalled.</w:t>
      </w:r>
    </w:p>
    <w:p w14:paraId="31963B89" w14:textId="6FA30E2D" w:rsidR="0017497D" w:rsidRPr="009D79E6" w:rsidRDefault="009D79E6" w:rsidP="009D79E6">
      <w:pPr>
        <w:pStyle w:val="BodyText"/>
        <w:numPr>
          <w:ilvl w:val="0"/>
          <w:numId w:val="10"/>
        </w:numPr>
        <w:rPr>
          <w:rFonts w:cs="Times New Roman"/>
          <w:sz w:val="24"/>
          <w:szCs w:val="24"/>
        </w:rPr>
      </w:pPr>
      <w:r>
        <w:rPr>
          <w:shd w:val="clear" w:color="auto" w:fill="FFFFFF"/>
        </w:rPr>
        <w:t>Apply the principle of least privilege to user, administrator, and system accounts.</w:t>
      </w:r>
    </w:p>
    <w:p w14:paraId="08BD498F" w14:textId="291B4D80" w:rsidR="00C15E98" w:rsidRDefault="00C15E98" w:rsidP="00C15E98">
      <w:pPr>
        <w:pStyle w:val="Heading3"/>
      </w:pPr>
      <w:r>
        <w:t>Monitoring</w:t>
      </w:r>
    </w:p>
    <w:p w14:paraId="265ECA60" w14:textId="787A5102" w:rsidR="009D79E6" w:rsidRDefault="009D79E6" w:rsidP="009D79E6">
      <w:pPr>
        <w:pStyle w:val="BodyText"/>
        <w:numPr>
          <w:ilvl w:val="0"/>
          <w:numId w:val="11"/>
        </w:numPr>
      </w:pPr>
      <w:r>
        <w:t>If the operating system comes with a means to log activity, enabling and testing of this function is required.</w:t>
      </w:r>
    </w:p>
    <w:p w14:paraId="15B68E5C" w14:textId="178019F2" w:rsidR="009D79E6" w:rsidRDefault="009D79E6" w:rsidP="009D79E6">
      <w:pPr>
        <w:pStyle w:val="BodyText"/>
        <w:numPr>
          <w:ilvl w:val="0"/>
          <w:numId w:val="11"/>
        </w:numPr>
      </w:pPr>
      <w:r>
        <w:t>Operating system and service log monitoring and analysis should be performed routinely. This process should be documented.</w:t>
      </w:r>
    </w:p>
    <w:p w14:paraId="6C08BD26" w14:textId="1AE73D58" w:rsidR="009D79E6" w:rsidRDefault="009D79E6" w:rsidP="009D79E6">
      <w:pPr>
        <w:pStyle w:val="BodyText"/>
        <w:numPr>
          <w:ilvl w:val="0"/>
          <w:numId w:val="11"/>
        </w:numPr>
      </w:pPr>
      <w:r>
        <w:t>The systems administrator must follow a documented backup strategy for security logs (for example, account management, access control, data integrity, etc.). Security logs should retain at least 14 days of relevant log information.</w:t>
      </w:r>
    </w:p>
    <w:p w14:paraId="4F18369D" w14:textId="39CC48B6" w:rsidR="00845AA3" w:rsidRPr="006803EF" w:rsidRDefault="009D79E6" w:rsidP="009D79E6">
      <w:pPr>
        <w:pStyle w:val="BodyText"/>
        <w:numPr>
          <w:ilvl w:val="0"/>
          <w:numId w:val="11"/>
        </w:numPr>
      </w:pPr>
      <w:r>
        <w:t>All administrator or root access must be logged.</w:t>
      </w:r>
    </w:p>
    <w:p w14:paraId="76C8B32E" w14:textId="77777777" w:rsidR="00845AA3" w:rsidRPr="00313258" w:rsidRDefault="00845AA3" w:rsidP="00C15E98">
      <w:pPr>
        <w:pStyle w:val="Heading1"/>
      </w:pPr>
      <w:r>
        <w:t>Policy and Procedures</w:t>
      </w:r>
    </w:p>
    <w:p w14:paraId="0C8EE134" w14:textId="77777777" w:rsidR="00845AA3" w:rsidRDefault="00845AA3" w:rsidP="00C15E98">
      <w:pPr>
        <w:pStyle w:val="Heading2"/>
      </w:pPr>
      <w:r w:rsidRPr="00B40C12">
        <w:t>Creating User Accounts</w:t>
      </w:r>
    </w:p>
    <w:p w14:paraId="1C18ADF2" w14:textId="77777777" w:rsidR="00732A63" w:rsidRPr="00732A63" w:rsidRDefault="00732A63" w:rsidP="00732A63">
      <w:pPr>
        <w:pStyle w:val="Heading2"/>
        <w:numPr>
          <w:ilvl w:val="0"/>
          <w:numId w:val="0"/>
        </w:numPr>
        <w:ind w:left="576"/>
        <w:rPr>
          <w:rFonts w:ascii="Times" w:eastAsia="Times New Roman" w:hAnsi="Times" w:cs="Times New Roman"/>
          <w:b w:val="0"/>
          <w:bCs w:val="0"/>
          <w:i w:val="0"/>
          <w:iCs w:val="0"/>
          <w:sz w:val="22"/>
          <w:szCs w:val="24"/>
        </w:rPr>
      </w:pPr>
      <w:r w:rsidRPr="00732A63">
        <w:rPr>
          <w:rFonts w:ascii="Times" w:eastAsia="Times New Roman" w:hAnsi="Times" w:cs="Times New Roman"/>
          <w:b w:val="0"/>
          <w:bCs w:val="0"/>
          <w:i w:val="0"/>
          <w:iCs w:val="0"/>
          <w:sz w:val="22"/>
          <w:szCs w:val="24"/>
        </w:rPr>
        <w:t>All persons and processes granted access to an information system, beyond that explicitly intended for unauthenticated public access must be uniquely and individually identified and authenticated.</w:t>
      </w:r>
    </w:p>
    <w:p w14:paraId="51DAE827" w14:textId="77777777" w:rsidR="000470B3" w:rsidRDefault="00732A63" w:rsidP="000470B3">
      <w:pPr>
        <w:pStyle w:val="Heading2"/>
        <w:numPr>
          <w:ilvl w:val="0"/>
          <w:numId w:val="0"/>
        </w:numPr>
        <w:ind w:left="576"/>
        <w:rPr>
          <w:rFonts w:ascii="Times" w:eastAsia="Times New Roman" w:hAnsi="Times" w:cs="Times New Roman"/>
          <w:b w:val="0"/>
          <w:bCs w:val="0"/>
          <w:i w:val="0"/>
          <w:iCs w:val="0"/>
          <w:sz w:val="22"/>
          <w:szCs w:val="24"/>
        </w:rPr>
      </w:pPr>
      <w:r w:rsidRPr="00732A63">
        <w:rPr>
          <w:rFonts w:ascii="Times" w:eastAsia="Times New Roman" w:hAnsi="Times" w:cs="Times New Roman"/>
          <w:b w:val="0"/>
          <w:bCs w:val="0"/>
          <w:i w:val="0"/>
          <w:iCs w:val="0"/>
          <w:sz w:val="22"/>
          <w:szCs w:val="24"/>
        </w:rPr>
        <w:t>All persons and processes that have been granted access to an information system must have an approved an</w:t>
      </w:r>
      <w:r w:rsidR="000470B3">
        <w:rPr>
          <w:rFonts w:ascii="Times" w:eastAsia="Times New Roman" w:hAnsi="Times" w:cs="Times New Roman"/>
          <w:b w:val="0"/>
          <w:bCs w:val="0"/>
          <w:i w:val="0"/>
          <w:iCs w:val="0"/>
          <w:sz w:val="22"/>
          <w:szCs w:val="24"/>
        </w:rPr>
        <w:t xml:space="preserve">d documented level and scope of </w:t>
      </w:r>
      <w:r w:rsidRPr="00732A63">
        <w:rPr>
          <w:rFonts w:ascii="Times" w:eastAsia="Times New Roman" w:hAnsi="Times" w:cs="Times New Roman"/>
          <w:b w:val="0"/>
          <w:bCs w:val="0"/>
          <w:i w:val="0"/>
          <w:iCs w:val="0"/>
          <w:sz w:val="22"/>
          <w:szCs w:val="24"/>
        </w:rPr>
        <w:t>access.</w:t>
      </w:r>
    </w:p>
    <w:p w14:paraId="1D154211" w14:textId="31F02A73" w:rsidR="00732A63" w:rsidRPr="00732A63" w:rsidRDefault="00732A63" w:rsidP="000470B3">
      <w:pPr>
        <w:pStyle w:val="Heading2"/>
        <w:numPr>
          <w:ilvl w:val="0"/>
          <w:numId w:val="0"/>
        </w:numPr>
        <w:ind w:left="576"/>
        <w:rPr>
          <w:rFonts w:ascii="Times" w:eastAsia="Times New Roman" w:hAnsi="Times" w:cs="Times New Roman"/>
          <w:b w:val="0"/>
          <w:bCs w:val="0"/>
          <w:i w:val="0"/>
          <w:iCs w:val="0"/>
          <w:sz w:val="22"/>
          <w:szCs w:val="24"/>
        </w:rPr>
      </w:pPr>
      <w:r w:rsidRPr="00732A63">
        <w:rPr>
          <w:rFonts w:ascii="Times" w:eastAsia="Times New Roman" w:hAnsi="Times" w:cs="Times New Roman"/>
          <w:b w:val="0"/>
          <w:bCs w:val="0"/>
          <w:i w:val="0"/>
          <w:iCs w:val="0"/>
          <w:sz w:val="22"/>
          <w:szCs w:val="24"/>
        </w:rPr>
        <w:t>Access to University Data and Information Systems is to be promptly modified upon changes in university affiliation, position, or responsibilities.</w:t>
      </w:r>
    </w:p>
    <w:p w14:paraId="4F83DA2D" w14:textId="77777777" w:rsidR="00845AA3" w:rsidRDefault="00845AA3" w:rsidP="00C15E98">
      <w:pPr>
        <w:pStyle w:val="Heading2"/>
      </w:pPr>
      <w:r>
        <w:t>User Credentials</w:t>
      </w:r>
      <w:r w:rsidRPr="00B40C12">
        <w:t xml:space="preserve"> </w:t>
      </w:r>
    </w:p>
    <w:p w14:paraId="199A54BA" w14:textId="7DA46007" w:rsidR="00E05F74" w:rsidRPr="00B40C12" w:rsidRDefault="000470B3" w:rsidP="00E05F74">
      <w:pPr>
        <w:pStyle w:val="BodyText"/>
        <w:tabs>
          <w:tab w:val="left" w:pos="860"/>
        </w:tabs>
        <w:spacing w:before="37"/>
        <w:ind w:right="136"/>
      </w:pPr>
      <w:r>
        <w:t xml:space="preserve">This Institution requires users to use Multi-Factor Authentication for the university resources. The recommended application is Duo for all multi-factor pairing. This will require a modern smartphone </w:t>
      </w:r>
      <w:proofErr w:type="gramStart"/>
      <w:r>
        <w:t>In</w:t>
      </w:r>
      <w:proofErr w:type="gramEnd"/>
      <w:r>
        <w:t xml:space="preserve"> order to complete the pairing.</w:t>
      </w:r>
    </w:p>
    <w:p w14:paraId="6F292C6D" w14:textId="77777777" w:rsidR="00E05F74" w:rsidRPr="00E05F74" w:rsidRDefault="00E05F74" w:rsidP="00E05F74"/>
    <w:p w14:paraId="1055C0F9" w14:textId="68047526" w:rsidR="00845AA3" w:rsidRPr="00B40C12" w:rsidRDefault="00845AA3" w:rsidP="00845AA3">
      <w:pPr>
        <w:pStyle w:val="Proposal-Text"/>
      </w:pPr>
      <w:r w:rsidRPr="00B40C12">
        <w:t xml:space="preserve">DesignSafe will initially use single-factor authentication via a user password. Multi-factor authentication is </w:t>
      </w:r>
      <w:r w:rsidR="00E05F74">
        <w:t>available in</w:t>
      </w:r>
      <w:r w:rsidRPr="00B40C12">
        <w:t xml:space="preserve"> TACC’s authentication infrastructure, and if deemed necessary will be applied to the DesignSafe CI. For multi-factor authentication, users would have a password and in addition a second mechanism of a short-lived access code provided by a fob or via mobile device app. The use of group accounts for administrative purposes and shared passwords for those accounts will be minimized where technically feasible. DesignSafe staff requiring privileged user access will be using </w:t>
      </w:r>
      <w:r w:rsidR="000470B3" w:rsidRPr="00B40C12">
        <w:t>RSASecureID</w:t>
      </w:r>
      <w:r w:rsidRPr="00B40C12">
        <w:t xml:space="preserve"> fobs for controlling root access to resources.</w:t>
      </w:r>
    </w:p>
    <w:p w14:paraId="44D8D504" w14:textId="77777777" w:rsidR="00845AA3" w:rsidRDefault="00845AA3" w:rsidP="00E8419A">
      <w:pPr>
        <w:pStyle w:val="BodyText"/>
        <w:tabs>
          <w:tab w:val="left" w:pos="860"/>
        </w:tabs>
        <w:spacing w:before="37"/>
        <w:ind w:left="0" w:right="136"/>
      </w:pPr>
    </w:p>
    <w:p w14:paraId="4D70DC02" w14:textId="280C1557" w:rsidR="00845AA3" w:rsidRPr="00B40C12" w:rsidRDefault="00845AA3" w:rsidP="00845AA3">
      <w:pPr>
        <w:pStyle w:val="Proposal-Text"/>
      </w:pPr>
      <w:r w:rsidRPr="00B40C12">
        <w:t xml:space="preserve">Credentials may be used only by the authorized user. Passwords or accounts should never be shared with anyone. Account owners will be held responsible for any actions performed using their accounts. DesignSafe staff will never ask users to disclose their passwords in any manner. Passwords should never be written down and left in plain </w:t>
      </w:r>
      <w:r w:rsidR="000470B3" w:rsidRPr="00B40C12">
        <w:t>sight or</w:t>
      </w:r>
      <w:r w:rsidRPr="00B40C12">
        <w:t xml:space="preserve"> stored in plain text online.</w:t>
      </w:r>
    </w:p>
    <w:p w14:paraId="7DB52598" w14:textId="77777777" w:rsidR="00845AA3" w:rsidRDefault="00845AA3" w:rsidP="00845AA3">
      <w:pPr>
        <w:pStyle w:val="BodyText"/>
        <w:tabs>
          <w:tab w:val="left" w:pos="860"/>
        </w:tabs>
        <w:spacing w:before="37"/>
        <w:ind w:left="0" w:right="136"/>
      </w:pPr>
    </w:p>
    <w:p w14:paraId="29703580" w14:textId="77777777" w:rsidR="00845AA3" w:rsidRPr="00B40C12" w:rsidRDefault="00845AA3" w:rsidP="00C15E98">
      <w:pPr>
        <w:pStyle w:val="Heading2"/>
      </w:pPr>
      <w:r>
        <w:lastRenderedPageBreak/>
        <w:t>Inactive</w:t>
      </w:r>
      <w:r w:rsidRPr="00B40C12">
        <w:t xml:space="preserve"> </w:t>
      </w:r>
      <w:r>
        <w:t>Account Expiration</w:t>
      </w:r>
    </w:p>
    <w:p w14:paraId="50C13DF3" w14:textId="7B5FBBD2" w:rsidR="00845AA3" w:rsidRDefault="00E05F74" w:rsidP="00845AA3">
      <w:pPr>
        <w:pStyle w:val="BodyText"/>
        <w:tabs>
          <w:tab w:val="left" w:pos="860"/>
        </w:tabs>
        <w:spacing w:before="37"/>
        <w:ind w:right="136"/>
      </w:pPr>
      <w:r>
        <w:t>A</w:t>
      </w:r>
      <w:r w:rsidR="00845AA3" w:rsidRPr="00B40C12">
        <w:t>ccount</w:t>
      </w:r>
      <w:r w:rsidR="000470B3">
        <w:t>s that are inactive will expire after a period of time determined by the university. This will help reduce the amount of compromised accounts from current and former faculty, staff, and students.</w:t>
      </w:r>
    </w:p>
    <w:p w14:paraId="207273F0" w14:textId="77777777" w:rsidR="00845AA3" w:rsidRPr="006803EF" w:rsidRDefault="00845AA3" w:rsidP="00845AA3">
      <w:pPr>
        <w:pStyle w:val="BodyText"/>
        <w:tabs>
          <w:tab w:val="left" w:pos="860"/>
        </w:tabs>
        <w:spacing w:before="37"/>
        <w:ind w:right="136"/>
      </w:pPr>
    </w:p>
    <w:p w14:paraId="61D67DCD" w14:textId="77777777" w:rsidR="00845AA3" w:rsidRPr="00D16FDB" w:rsidRDefault="00845AA3" w:rsidP="00C15E98">
      <w:pPr>
        <w:pStyle w:val="Heading1"/>
      </w:pPr>
      <w:r>
        <w:t>Physical Safeguards</w:t>
      </w:r>
    </w:p>
    <w:p w14:paraId="7CA5037A" w14:textId="77777777" w:rsidR="00845AA3" w:rsidRPr="00D16FDB" w:rsidRDefault="00845AA3" w:rsidP="00C15E98">
      <w:pPr>
        <w:pStyle w:val="Heading2"/>
      </w:pPr>
      <w:r w:rsidRPr="00D16FDB">
        <w:t>Physical Access Authorization</w:t>
      </w:r>
    </w:p>
    <w:p w14:paraId="61834FA3" w14:textId="74FA4E65" w:rsidR="00845AA3" w:rsidRDefault="00732A63" w:rsidP="00845AA3">
      <w:pPr>
        <w:pStyle w:val="Default"/>
        <w:ind w:left="720"/>
        <w:rPr>
          <w:sz w:val="22"/>
          <w:szCs w:val="22"/>
        </w:rPr>
      </w:pPr>
      <w:r>
        <w:rPr>
          <w:sz w:val="22"/>
          <w:szCs w:val="22"/>
        </w:rPr>
        <w:t>Per the security plan, physical safeguards will be deployed on the premise of the institution.</w:t>
      </w:r>
    </w:p>
    <w:p w14:paraId="059304D9" w14:textId="77777777" w:rsidR="00845AA3" w:rsidRDefault="00845AA3" w:rsidP="00845AA3">
      <w:pPr>
        <w:pStyle w:val="Default"/>
        <w:ind w:left="720"/>
        <w:rPr>
          <w:sz w:val="22"/>
          <w:szCs w:val="22"/>
        </w:rPr>
      </w:pPr>
    </w:p>
    <w:p w14:paraId="742DAA22" w14:textId="77777777" w:rsidR="00845AA3" w:rsidRPr="00377C0E" w:rsidRDefault="00845AA3" w:rsidP="00845AA3">
      <w:pPr>
        <w:pStyle w:val="Default"/>
        <w:ind w:left="720"/>
        <w:rPr>
          <w:sz w:val="22"/>
          <w:szCs w:val="22"/>
        </w:rPr>
      </w:pPr>
    </w:p>
    <w:p w14:paraId="45797C9F" w14:textId="52E354F7" w:rsidR="00E05F74" w:rsidRPr="00732A63" w:rsidRDefault="00845AA3" w:rsidP="00732A63">
      <w:pPr>
        <w:pStyle w:val="Heading2"/>
      </w:pPr>
      <w:r>
        <w:t xml:space="preserve">Access Control for Transmission Medium </w:t>
      </w:r>
    </w:p>
    <w:p w14:paraId="61DE2B25" w14:textId="77777777" w:rsidR="00845AA3" w:rsidRPr="00D16FDB" w:rsidRDefault="00845AA3" w:rsidP="00845AA3">
      <w:pPr>
        <w:ind w:left="720"/>
        <w:rPr>
          <w:sz w:val="22"/>
          <w:szCs w:val="22"/>
        </w:rPr>
      </w:pPr>
      <w:r w:rsidRPr="00D16FDB">
        <w:rPr>
          <w:sz w:val="22"/>
          <w:szCs w:val="22"/>
        </w:rPr>
        <w:t xml:space="preserve">Adequate physical protection is in place for wiring closets and communication demark areas to prevent accidental damage, disruption, or intentional physical tampering of transmission lines. </w:t>
      </w:r>
    </w:p>
    <w:p w14:paraId="232A1B23" w14:textId="77777777" w:rsidR="00845AA3" w:rsidRPr="00CA29CF" w:rsidRDefault="00845AA3" w:rsidP="00845AA3">
      <w:pPr>
        <w:pStyle w:val="BodyText"/>
        <w:tabs>
          <w:tab w:val="left" w:pos="860"/>
        </w:tabs>
        <w:spacing w:before="37"/>
        <w:ind w:left="0" w:right="136"/>
      </w:pPr>
    </w:p>
    <w:p w14:paraId="215FC863" w14:textId="77777777" w:rsidR="00845AA3" w:rsidRPr="00D16FDB" w:rsidRDefault="00845AA3" w:rsidP="00C15E98">
      <w:pPr>
        <w:pStyle w:val="Heading1"/>
      </w:pPr>
      <w:r>
        <w:t>Awareness and Training</w:t>
      </w:r>
    </w:p>
    <w:p w14:paraId="72973A0E" w14:textId="77777777" w:rsidR="00845AA3" w:rsidRPr="00BB61EF" w:rsidRDefault="00845AA3" w:rsidP="00845AA3">
      <w:pPr>
        <w:pStyle w:val="BodyText"/>
        <w:tabs>
          <w:tab w:val="left" w:pos="860"/>
        </w:tabs>
        <w:spacing w:before="120"/>
        <w:ind w:left="0" w:right="130"/>
      </w:pPr>
      <w:r>
        <w:t>Awareness of the DesignSafe Cybersecurity Plan for NHERI Awardees will be achieved via the Security Working Group, and assurance of awareness and compliance is achieved via the aforementioned audits.</w:t>
      </w:r>
    </w:p>
    <w:p w14:paraId="2E9B1EDA" w14:textId="77777777" w:rsidR="00845AA3" w:rsidRDefault="00845AA3" w:rsidP="00845AA3">
      <w:pPr>
        <w:pStyle w:val="BodyText"/>
        <w:tabs>
          <w:tab w:val="left" w:pos="860"/>
        </w:tabs>
        <w:spacing w:before="120"/>
        <w:ind w:left="0" w:right="130"/>
      </w:pPr>
      <w:r>
        <w:t xml:space="preserve">NHERI Awardees shall adhere to their local University cybersecurity </w:t>
      </w:r>
      <w:proofErr w:type="gramStart"/>
      <w:r>
        <w:t>policies, and</w:t>
      </w:r>
      <w:proofErr w:type="gramEnd"/>
      <w:r>
        <w:t xml:space="preserve"> participate in their local University cybersecurity awareness and training.</w:t>
      </w:r>
    </w:p>
    <w:p w14:paraId="0FFB5D1A" w14:textId="5A5136EB" w:rsidR="00845AA3" w:rsidRPr="00BB61EF" w:rsidRDefault="00732A63" w:rsidP="00845AA3">
      <w:pPr>
        <w:pStyle w:val="BodyText"/>
        <w:tabs>
          <w:tab w:val="left" w:pos="860"/>
        </w:tabs>
        <w:spacing w:before="120"/>
        <w:ind w:left="0" w:right="130"/>
      </w:pPr>
      <w:r>
        <w:t>The security plan calls for awareness and training to be provided to each of the members of the Security team.</w:t>
      </w:r>
    </w:p>
    <w:p w14:paraId="392F61FF" w14:textId="77777777" w:rsidR="00845AA3" w:rsidRPr="00B40C12" w:rsidRDefault="00845AA3" w:rsidP="00845AA3">
      <w:pPr>
        <w:pStyle w:val="BodyText"/>
        <w:tabs>
          <w:tab w:val="left" w:pos="860"/>
        </w:tabs>
        <w:spacing w:before="37"/>
        <w:ind w:left="0" w:right="136"/>
      </w:pPr>
    </w:p>
    <w:p w14:paraId="69CF4C46" w14:textId="77777777" w:rsidR="00845AA3" w:rsidRPr="00B40C12" w:rsidRDefault="00845AA3" w:rsidP="00C15E98">
      <w:pPr>
        <w:pStyle w:val="Heading1"/>
      </w:pPr>
      <w:r>
        <w:t>Incident Response and Notification Procedures</w:t>
      </w:r>
      <w:r w:rsidRPr="00B40C12">
        <w:t xml:space="preserve"> </w:t>
      </w:r>
    </w:p>
    <w:p w14:paraId="50AE1510" w14:textId="40F86437" w:rsidR="00845AA3" w:rsidRPr="00B40C12" w:rsidRDefault="00E05F74" w:rsidP="00845AA3">
      <w:pPr>
        <w:pStyle w:val="BodyText"/>
        <w:tabs>
          <w:tab w:val="left" w:pos="860"/>
        </w:tabs>
        <w:spacing w:before="37"/>
        <w:ind w:left="0" w:right="136"/>
      </w:pPr>
      <w:r>
        <w:t xml:space="preserve">NHERI sites are expected to notify the DesignSafe CSO via email within 24 hours of detecting or suspecting an incident, as well as following their campus procedures for incident notification and response. </w:t>
      </w:r>
      <w:r w:rsidR="00845AA3" w:rsidRPr="00B40C12">
        <w:t>Upon notification of a possible security incident, the DesignSafe CSO will lead a formal incident response. The DesignSafe Security Working Group will be informed that a response is being initiated, and the response team will be formed based upon the</w:t>
      </w:r>
      <w:r>
        <w:t xml:space="preserve"> extent of the incident. It may</w:t>
      </w:r>
      <w:r w:rsidR="00845AA3" w:rsidRPr="00B40C12">
        <w:t xml:space="preserve"> be necessary to quickly suspend the suspected user account(s), services, or systems to prevent an escalation of the incident. The team will analyze all available information, interrogate any persons involved, determine corrective measures, and assure corrections are implemented and effective prior to allowing any accounts, services or systems to be brought back online. An incident report will be generated and shared with the Security Working Group. Relevant information from the report will be shared with the </w:t>
      </w:r>
      <w:proofErr w:type="gramStart"/>
      <w:r>
        <w:t xml:space="preserve">site </w:t>
      </w:r>
      <w:r w:rsidR="00845AA3" w:rsidRPr="00B40C12">
        <w:t xml:space="preserve"> Management</w:t>
      </w:r>
      <w:proofErr w:type="gramEnd"/>
      <w:r w:rsidR="00845AA3" w:rsidRPr="00B40C12">
        <w:t xml:space="preserve"> Team and NSF as appropriate. </w:t>
      </w:r>
    </w:p>
    <w:p w14:paraId="416AD56A" w14:textId="1778E9AA" w:rsidR="00853087" w:rsidRDefault="00C15E98" w:rsidP="00C15E98">
      <w:pPr>
        <w:pStyle w:val="Heading1"/>
      </w:pPr>
      <w:r>
        <w:t>Non-Compliance and Exceptions</w:t>
      </w:r>
    </w:p>
    <w:p w14:paraId="06E08AF2" w14:textId="2C4E9D50" w:rsidR="0017497D" w:rsidRPr="0017497D" w:rsidRDefault="00E05F74" w:rsidP="0017497D">
      <w:pPr>
        <w:pStyle w:val="BodyText"/>
      </w:pPr>
      <w:r>
        <w:t>I</w:t>
      </w:r>
      <w:r w:rsidR="0017497D" w:rsidRPr="0017497D">
        <w:t xml:space="preserve">f any of the minimum standards contained within this document cannot be met on systems, an Exception Process must be initiated that includes reporting the non-compliance to the Information </w:t>
      </w:r>
      <w:r w:rsidR="0017497D" w:rsidRPr="0017497D">
        <w:lastRenderedPageBreak/>
        <w:t xml:space="preserve">Security Office, along with a plan for risk assessment and management. </w:t>
      </w:r>
    </w:p>
    <w:p w14:paraId="6398592B" w14:textId="77777777" w:rsidR="0017497D" w:rsidRDefault="0017497D" w:rsidP="0017497D">
      <w:pPr>
        <w:pStyle w:val="BodyText"/>
      </w:pPr>
      <w:r w:rsidRPr="0017497D">
        <w:t>University of Texas at Austin employees are required to comply with both institutional rules and regulations and applicable UT System rules and regulations. In addition to university and System rules and regulations, University of Texas at Austin employees are required to comply with state laws and regulations.</w:t>
      </w:r>
    </w:p>
    <w:p w14:paraId="17C407CD" w14:textId="7AFBE382" w:rsidR="00E05F74" w:rsidRDefault="00945EE5" w:rsidP="00945EE5">
      <w:pPr>
        <w:pStyle w:val="Heading1"/>
      </w:pPr>
      <w:r>
        <w:t>Protected/Personally Identifiable Information</w:t>
      </w:r>
    </w:p>
    <w:p w14:paraId="1DA9179F" w14:textId="27EBF0E5" w:rsidR="00945EE5" w:rsidRPr="00945EE5" w:rsidRDefault="00945EE5" w:rsidP="00945EE5">
      <w:r>
        <w:t xml:space="preserve">Primary data at NHERI sites should consist of technical information regarding experiments conducted at NHERI facilities, simulation output, source code, and reconnaissance data. It is expected that no site has data that would qualify under NIST standards as “Controlled Unclassified Information” (CUI), including but not limited to Protected Health Information (PHI), student records, financial information, etc.   If any CUI data is on NHERI-affiliated computing systems, the site administrators should contact the DesignSafe security officer to develop a more comprehensive security plan which complies with appropriate controls as set out in NIST 800.171 and NIST 800.53.  </w:t>
      </w:r>
    </w:p>
    <w:p w14:paraId="605388CD" w14:textId="6E1D206E" w:rsidR="0017497D" w:rsidRDefault="007567BE" w:rsidP="007567BE">
      <w:pPr>
        <w:pStyle w:val="Heading1"/>
      </w:pPr>
      <w:r>
        <w:t>Related Institutional Policies and Procedures</w:t>
      </w:r>
    </w:p>
    <w:p w14:paraId="74D38C1B" w14:textId="77777777" w:rsidR="00263D1A" w:rsidRDefault="00263D1A" w:rsidP="00263D1A">
      <w:r w:rsidRPr="00263D1A">
        <w:t>The University of Florida (UF) follows guidelines and standards developed by the National Institute of Standards and Technology (NIST).  The UF Information Security Office (ISO) adopted the NIST 800-53_r4 Low framework for general computing environments.  As part of the NIST implementation, the UF ISO developed several institutional policies and standards to ensure compliance with the NIST framework.  Relevant UF information security policies and related standards are summarized in the Table 3 below and must be aligned with the final cybersecurity plan that is developed for the NHERI consortium.</w:t>
      </w:r>
    </w:p>
    <w:p w14:paraId="298D17A9" w14:textId="77777777" w:rsidR="00263D1A" w:rsidRPr="00263D1A" w:rsidRDefault="00263D1A" w:rsidP="00263D1A"/>
    <w:p w14:paraId="72B2D4C0" w14:textId="77777777" w:rsidR="00263D1A" w:rsidRPr="00263D1A" w:rsidRDefault="00263D1A" w:rsidP="00263D1A">
      <w:pPr>
        <w:numPr>
          <w:ilvl w:val="0"/>
          <w:numId w:val="19"/>
        </w:numPr>
      </w:pPr>
      <w:bookmarkStart w:id="2" w:name="_Toc465092112"/>
      <w:bookmarkStart w:id="3" w:name="_Toc465094452"/>
      <w:r w:rsidRPr="00263D1A">
        <w:t>Table 3:  UF Information Security Policies, Standards, Guidelines</w:t>
      </w:r>
      <w:bookmarkEnd w:id="2"/>
      <w:bookmarkEnd w:id="3"/>
    </w:p>
    <w:tbl>
      <w:tblPr>
        <w:tblStyle w:val="TableGridLight"/>
        <w:tblW w:w="9445" w:type="dxa"/>
        <w:tblLook w:val="04A0" w:firstRow="1" w:lastRow="0" w:firstColumn="1" w:lastColumn="0" w:noHBand="0" w:noVBand="1"/>
      </w:tblPr>
      <w:tblGrid>
        <w:gridCol w:w="3775"/>
        <w:gridCol w:w="5670"/>
      </w:tblGrid>
      <w:tr w:rsidR="00263D1A" w:rsidRPr="00263D1A" w14:paraId="0D8269CF" w14:textId="77777777" w:rsidTr="005D7F6A">
        <w:tc>
          <w:tcPr>
            <w:tcW w:w="3775" w:type="dxa"/>
          </w:tcPr>
          <w:p w14:paraId="5198CE26" w14:textId="77777777" w:rsidR="00263D1A" w:rsidRPr="00263D1A" w:rsidRDefault="00263D1A" w:rsidP="00263D1A">
            <w:r w:rsidRPr="00263D1A">
              <w:t>InfoSec Definition of Terms</w:t>
            </w:r>
          </w:p>
          <w:p w14:paraId="6E296025" w14:textId="77777777" w:rsidR="00263D1A" w:rsidRPr="00263D1A" w:rsidRDefault="00E5312D" w:rsidP="00263D1A">
            <w:pPr>
              <w:numPr>
                <w:ilvl w:val="0"/>
                <w:numId w:val="21"/>
              </w:numPr>
            </w:pPr>
            <w:hyperlink r:id="rId14" w:history="1">
              <w:r w:rsidR="00263D1A" w:rsidRPr="00263D1A">
                <w:rPr>
                  <w:rStyle w:val="Hyperlink"/>
                </w:rPr>
                <w:t>Standard</w:t>
              </w:r>
            </w:hyperlink>
          </w:p>
          <w:p w14:paraId="445A4B33" w14:textId="77777777" w:rsidR="00263D1A" w:rsidRPr="00263D1A" w:rsidRDefault="00263D1A" w:rsidP="00263D1A"/>
        </w:tc>
        <w:tc>
          <w:tcPr>
            <w:tcW w:w="5670" w:type="dxa"/>
          </w:tcPr>
          <w:p w14:paraId="5703C2C3" w14:textId="77777777" w:rsidR="00263D1A" w:rsidRPr="00263D1A" w:rsidRDefault="00263D1A" w:rsidP="00263D1A">
            <w:pPr>
              <w:rPr>
                <w:lang w:val="en"/>
              </w:rPr>
            </w:pPr>
            <w:r w:rsidRPr="00263D1A">
              <w:rPr>
                <w:lang w:val="en"/>
              </w:rPr>
              <w:t>This standard provides common definitions for terms used in the information security policies, standards, procedures and guidelines at the University of Florida.</w:t>
            </w:r>
          </w:p>
          <w:p w14:paraId="46538782" w14:textId="77777777" w:rsidR="00263D1A" w:rsidRPr="00263D1A" w:rsidRDefault="00263D1A" w:rsidP="00263D1A"/>
        </w:tc>
      </w:tr>
      <w:tr w:rsidR="00263D1A" w:rsidRPr="00263D1A" w14:paraId="60FACDFC" w14:textId="77777777" w:rsidTr="005D7F6A">
        <w:tc>
          <w:tcPr>
            <w:tcW w:w="3775" w:type="dxa"/>
          </w:tcPr>
          <w:p w14:paraId="5F21ED09" w14:textId="77777777" w:rsidR="00263D1A" w:rsidRPr="00263D1A" w:rsidRDefault="00263D1A" w:rsidP="00263D1A">
            <w:r w:rsidRPr="00263D1A">
              <w:t>Account Management</w:t>
            </w:r>
          </w:p>
          <w:p w14:paraId="338F4D02" w14:textId="77777777" w:rsidR="00263D1A" w:rsidRPr="00263D1A" w:rsidRDefault="00E5312D" w:rsidP="00263D1A">
            <w:pPr>
              <w:numPr>
                <w:ilvl w:val="0"/>
                <w:numId w:val="18"/>
              </w:numPr>
            </w:pPr>
            <w:hyperlink r:id="rId15" w:history="1">
              <w:r w:rsidR="00263D1A" w:rsidRPr="00263D1A">
                <w:rPr>
                  <w:rStyle w:val="Hyperlink"/>
                </w:rPr>
                <w:t>Policy</w:t>
              </w:r>
            </w:hyperlink>
          </w:p>
          <w:p w14:paraId="1B8A1E4B" w14:textId="77777777" w:rsidR="00263D1A" w:rsidRPr="00263D1A" w:rsidRDefault="00E5312D" w:rsidP="00263D1A">
            <w:pPr>
              <w:numPr>
                <w:ilvl w:val="0"/>
                <w:numId w:val="18"/>
              </w:numPr>
            </w:pPr>
            <w:hyperlink r:id="rId16" w:history="1">
              <w:r w:rsidR="00263D1A" w:rsidRPr="00263D1A">
                <w:rPr>
                  <w:rStyle w:val="Hyperlink"/>
                </w:rPr>
                <w:t>Standard</w:t>
              </w:r>
            </w:hyperlink>
          </w:p>
        </w:tc>
        <w:tc>
          <w:tcPr>
            <w:tcW w:w="5670" w:type="dxa"/>
          </w:tcPr>
          <w:p w14:paraId="1CB8F18C" w14:textId="77777777" w:rsidR="00263D1A" w:rsidRPr="00263D1A" w:rsidRDefault="00263D1A" w:rsidP="00263D1A">
            <w:pPr>
              <w:rPr>
                <w:lang w:val="en"/>
              </w:rPr>
            </w:pPr>
            <w:r w:rsidRPr="00263D1A">
              <w:rPr>
                <w:lang w:val="en"/>
              </w:rPr>
              <w:t>To provide a comprehensive account management process that allows only authorized individuals to access University Data and Information Systems.</w:t>
            </w:r>
          </w:p>
          <w:p w14:paraId="7E175A94" w14:textId="77777777" w:rsidR="00263D1A" w:rsidRPr="00263D1A" w:rsidRDefault="00263D1A" w:rsidP="00263D1A">
            <w:pPr>
              <w:rPr>
                <w:lang w:val="en"/>
              </w:rPr>
            </w:pPr>
          </w:p>
        </w:tc>
      </w:tr>
      <w:tr w:rsidR="00263D1A" w:rsidRPr="00263D1A" w14:paraId="5B16854D" w14:textId="77777777" w:rsidTr="005D7F6A">
        <w:tc>
          <w:tcPr>
            <w:tcW w:w="3775" w:type="dxa"/>
          </w:tcPr>
          <w:p w14:paraId="10BD1DE2" w14:textId="77777777" w:rsidR="00263D1A" w:rsidRPr="00263D1A" w:rsidRDefault="00263D1A" w:rsidP="00263D1A">
            <w:r w:rsidRPr="00263D1A">
              <w:t>Authentication Management</w:t>
            </w:r>
          </w:p>
          <w:p w14:paraId="423018B4" w14:textId="77777777" w:rsidR="00263D1A" w:rsidRPr="00263D1A" w:rsidRDefault="00E5312D" w:rsidP="00263D1A">
            <w:pPr>
              <w:numPr>
                <w:ilvl w:val="0"/>
                <w:numId w:val="18"/>
              </w:numPr>
            </w:pPr>
            <w:hyperlink r:id="rId17" w:history="1">
              <w:r w:rsidR="00263D1A" w:rsidRPr="00263D1A">
                <w:rPr>
                  <w:rStyle w:val="Hyperlink"/>
                </w:rPr>
                <w:t>Policy</w:t>
              </w:r>
            </w:hyperlink>
          </w:p>
          <w:p w14:paraId="4A3094AC" w14:textId="77777777" w:rsidR="00263D1A" w:rsidRPr="00263D1A" w:rsidRDefault="00E5312D" w:rsidP="00263D1A">
            <w:pPr>
              <w:numPr>
                <w:ilvl w:val="0"/>
                <w:numId w:val="18"/>
              </w:numPr>
            </w:pPr>
            <w:hyperlink r:id="rId18" w:history="1">
              <w:r w:rsidR="00263D1A" w:rsidRPr="00263D1A">
                <w:rPr>
                  <w:rStyle w:val="Hyperlink"/>
                </w:rPr>
                <w:t>Standard</w:t>
              </w:r>
            </w:hyperlink>
          </w:p>
        </w:tc>
        <w:tc>
          <w:tcPr>
            <w:tcW w:w="5670" w:type="dxa"/>
          </w:tcPr>
          <w:p w14:paraId="44C457CF" w14:textId="77777777" w:rsidR="00263D1A" w:rsidRPr="00263D1A" w:rsidRDefault="00263D1A" w:rsidP="00263D1A">
            <w:pPr>
              <w:rPr>
                <w:lang w:val="en"/>
              </w:rPr>
            </w:pPr>
            <w:r w:rsidRPr="00263D1A">
              <w:rPr>
                <w:lang w:val="en"/>
              </w:rPr>
              <w:t>Authentication mechanisms such as passwords are the primary means of protecting access to computer systems and data. It is essential that these authenticators be strongly constructed and used in a manner that prevents their compromise.</w:t>
            </w:r>
          </w:p>
          <w:p w14:paraId="3B698B6C" w14:textId="77777777" w:rsidR="00263D1A" w:rsidRPr="00263D1A" w:rsidRDefault="00263D1A" w:rsidP="00263D1A">
            <w:pPr>
              <w:rPr>
                <w:lang w:val="en"/>
              </w:rPr>
            </w:pPr>
          </w:p>
        </w:tc>
      </w:tr>
      <w:tr w:rsidR="00263D1A" w:rsidRPr="00263D1A" w14:paraId="055545C2" w14:textId="77777777" w:rsidTr="005D7F6A">
        <w:tc>
          <w:tcPr>
            <w:tcW w:w="3775" w:type="dxa"/>
          </w:tcPr>
          <w:p w14:paraId="0A04B75D" w14:textId="77777777" w:rsidR="00263D1A" w:rsidRPr="00263D1A" w:rsidRDefault="00263D1A" w:rsidP="00263D1A">
            <w:r w:rsidRPr="00263D1A">
              <w:t>Data Classification</w:t>
            </w:r>
          </w:p>
          <w:p w14:paraId="71FB1CD6" w14:textId="77777777" w:rsidR="00263D1A" w:rsidRPr="00263D1A" w:rsidRDefault="00E5312D" w:rsidP="00263D1A">
            <w:pPr>
              <w:numPr>
                <w:ilvl w:val="0"/>
                <w:numId w:val="18"/>
              </w:numPr>
            </w:pPr>
            <w:hyperlink r:id="rId19" w:history="1">
              <w:r w:rsidR="00263D1A" w:rsidRPr="00263D1A">
                <w:rPr>
                  <w:rStyle w:val="Hyperlink"/>
                </w:rPr>
                <w:t>Policy</w:t>
              </w:r>
            </w:hyperlink>
          </w:p>
          <w:p w14:paraId="498E2478" w14:textId="77777777" w:rsidR="00263D1A" w:rsidRPr="00263D1A" w:rsidRDefault="00E5312D" w:rsidP="00263D1A">
            <w:pPr>
              <w:numPr>
                <w:ilvl w:val="0"/>
                <w:numId w:val="18"/>
              </w:numPr>
            </w:pPr>
            <w:hyperlink r:id="rId20" w:history="1">
              <w:r w:rsidR="00263D1A" w:rsidRPr="00263D1A">
                <w:rPr>
                  <w:rStyle w:val="Hyperlink"/>
                </w:rPr>
                <w:t>Guidelines</w:t>
              </w:r>
            </w:hyperlink>
          </w:p>
          <w:p w14:paraId="6D19EAA1" w14:textId="77777777" w:rsidR="00263D1A" w:rsidRPr="00263D1A" w:rsidRDefault="00263D1A" w:rsidP="00263D1A"/>
        </w:tc>
        <w:tc>
          <w:tcPr>
            <w:tcW w:w="5670" w:type="dxa"/>
          </w:tcPr>
          <w:p w14:paraId="164B16EE" w14:textId="77777777" w:rsidR="00263D1A" w:rsidRPr="00263D1A" w:rsidRDefault="00263D1A" w:rsidP="00263D1A">
            <w:pPr>
              <w:rPr>
                <w:lang w:val="en"/>
              </w:rPr>
            </w:pPr>
            <w:r w:rsidRPr="00263D1A">
              <w:rPr>
                <w:lang w:val="en"/>
              </w:rPr>
              <w:t>All data at the University of Florida is now classified into three categories: restricted, sensitive, and open.</w:t>
            </w:r>
          </w:p>
          <w:p w14:paraId="59BB666D" w14:textId="77777777" w:rsidR="00263D1A" w:rsidRPr="00263D1A" w:rsidRDefault="00263D1A" w:rsidP="00263D1A">
            <w:pPr>
              <w:rPr>
                <w:lang w:val="en"/>
              </w:rPr>
            </w:pPr>
          </w:p>
        </w:tc>
      </w:tr>
      <w:tr w:rsidR="00263D1A" w:rsidRPr="00263D1A" w14:paraId="7CDB184E" w14:textId="77777777" w:rsidTr="005D7F6A">
        <w:tc>
          <w:tcPr>
            <w:tcW w:w="3775" w:type="dxa"/>
          </w:tcPr>
          <w:p w14:paraId="3361D501" w14:textId="77777777" w:rsidR="00263D1A" w:rsidRPr="00263D1A" w:rsidRDefault="00263D1A" w:rsidP="00263D1A">
            <w:r w:rsidRPr="00263D1A">
              <w:lastRenderedPageBreak/>
              <w:t>External IT Vendor Sourcing</w:t>
            </w:r>
          </w:p>
          <w:p w14:paraId="4B3563AD" w14:textId="77777777" w:rsidR="00263D1A" w:rsidRPr="00263D1A" w:rsidRDefault="00E5312D" w:rsidP="00263D1A">
            <w:pPr>
              <w:numPr>
                <w:ilvl w:val="0"/>
                <w:numId w:val="20"/>
              </w:numPr>
            </w:pPr>
            <w:hyperlink r:id="rId21" w:history="1">
              <w:r w:rsidR="00263D1A" w:rsidRPr="00263D1A">
                <w:rPr>
                  <w:rStyle w:val="Hyperlink"/>
                </w:rPr>
                <w:t>Standard</w:t>
              </w:r>
            </w:hyperlink>
          </w:p>
        </w:tc>
        <w:tc>
          <w:tcPr>
            <w:tcW w:w="5670" w:type="dxa"/>
          </w:tcPr>
          <w:p w14:paraId="5A3DB54B" w14:textId="77777777" w:rsidR="00263D1A" w:rsidRPr="00263D1A" w:rsidRDefault="00263D1A" w:rsidP="00263D1A">
            <w:pPr>
              <w:rPr>
                <w:lang w:val="en"/>
              </w:rPr>
            </w:pPr>
            <w:r w:rsidRPr="00263D1A">
              <w:rPr>
                <w:lang w:val="en"/>
              </w:rPr>
              <w:t>Specifies security requirements for the acquisition of information technology products and services in which University of Florida Data is stored, processed or transmitted by an entity not under control of the university.</w:t>
            </w:r>
          </w:p>
          <w:p w14:paraId="0C60E919" w14:textId="77777777" w:rsidR="00263D1A" w:rsidRPr="00263D1A" w:rsidRDefault="00263D1A" w:rsidP="00263D1A"/>
        </w:tc>
      </w:tr>
      <w:tr w:rsidR="00263D1A" w:rsidRPr="00263D1A" w14:paraId="6DF4CF58" w14:textId="77777777" w:rsidTr="005D7F6A">
        <w:tc>
          <w:tcPr>
            <w:tcW w:w="3775" w:type="dxa"/>
          </w:tcPr>
          <w:p w14:paraId="7C405953" w14:textId="77777777" w:rsidR="00263D1A" w:rsidRPr="00263D1A" w:rsidRDefault="00263D1A" w:rsidP="00263D1A">
            <w:r w:rsidRPr="00263D1A">
              <w:t>Password Complexity Standards</w:t>
            </w:r>
          </w:p>
          <w:p w14:paraId="4BAFC20F" w14:textId="77777777" w:rsidR="00263D1A" w:rsidRPr="00263D1A" w:rsidRDefault="00E5312D" w:rsidP="00263D1A">
            <w:pPr>
              <w:numPr>
                <w:ilvl w:val="0"/>
                <w:numId w:val="20"/>
              </w:numPr>
            </w:pPr>
            <w:hyperlink r:id="rId22" w:history="1">
              <w:r w:rsidR="00263D1A" w:rsidRPr="00263D1A">
                <w:rPr>
                  <w:rStyle w:val="Hyperlink"/>
                </w:rPr>
                <w:t>Standard</w:t>
              </w:r>
            </w:hyperlink>
          </w:p>
          <w:p w14:paraId="30B48B7F" w14:textId="77777777" w:rsidR="00263D1A" w:rsidRPr="00263D1A" w:rsidRDefault="00263D1A" w:rsidP="00263D1A"/>
        </w:tc>
        <w:tc>
          <w:tcPr>
            <w:tcW w:w="5670" w:type="dxa"/>
          </w:tcPr>
          <w:p w14:paraId="19585D02" w14:textId="77777777" w:rsidR="00263D1A" w:rsidRPr="00263D1A" w:rsidRDefault="00263D1A" w:rsidP="00263D1A">
            <w:r w:rsidRPr="00263D1A">
              <w:rPr>
                <w:lang w:val="en"/>
              </w:rPr>
              <w:t>Defines minimum password complexity requirements based upon assigned password policy levels</w:t>
            </w:r>
          </w:p>
        </w:tc>
      </w:tr>
      <w:tr w:rsidR="00263D1A" w:rsidRPr="00263D1A" w14:paraId="12D5D87A" w14:textId="77777777" w:rsidTr="005D7F6A">
        <w:tc>
          <w:tcPr>
            <w:tcW w:w="3775" w:type="dxa"/>
          </w:tcPr>
          <w:p w14:paraId="63C356F5" w14:textId="77777777" w:rsidR="00263D1A" w:rsidRPr="00263D1A" w:rsidRDefault="00263D1A" w:rsidP="00263D1A">
            <w:r w:rsidRPr="00263D1A">
              <w:t>Backup and Recovery</w:t>
            </w:r>
          </w:p>
          <w:p w14:paraId="57EBD5BC" w14:textId="77777777" w:rsidR="00263D1A" w:rsidRPr="00263D1A" w:rsidRDefault="00E5312D" w:rsidP="00263D1A">
            <w:pPr>
              <w:numPr>
                <w:ilvl w:val="0"/>
                <w:numId w:val="20"/>
              </w:numPr>
            </w:pPr>
            <w:hyperlink r:id="rId23" w:history="1">
              <w:r w:rsidR="00263D1A" w:rsidRPr="00263D1A">
                <w:rPr>
                  <w:rStyle w:val="Hyperlink"/>
                </w:rPr>
                <w:t>Policy</w:t>
              </w:r>
            </w:hyperlink>
          </w:p>
        </w:tc>
        <w:tc>
          <w:tcPr>
            <w:tcW w:w="5670" w:type="dxa"/>
          </w:tcPr>
          <w:p w14:paraId="0D737A3F" w14:textId="77777777" w:rsidR="00263D1A" w:rsidRPr="00263D1A" w:rsidRDefault="00263D1A" w:rsidP="00263D1A">
            <w:pPr>
              <w:rPr>
                <w:lang w:val="en"/>
              </w:rPr>
            </w:pPr>
            <w:r w:rsidRPr="00263D1A">
              <w:rPr>
                <w:lang w:val="en"/>
              </w:rPr>
              <w:t>The purpose of this policy is to protect University Data from loss or destruction by specifying reliable backups that are based upon the availability needs of each unit and its data.</w:t>
            </w:r>
          </w:p>
          <w:p w14:paraId="22257A69" w14:textId="77777777" w:rsidR="00263D1A" w:rsidRPr="00263D1A" w:rsidRDefault="00263D1A" w:rsidP="00263D1A">
            <w:pPr>
              <w:rPr>
                <w:lang w:val="en"/>
              </w:rPr>
            </w:pPr>
          </w:p>
        </w:tc>
      </w:tr>
      <w:tr w:rsidR="00263D1A" w:rsidRPr="00263D1A" w14:paraId="0258AFAC" w14:textId="77777777" w:rsidTr="005D7F6A">
        <w:tc>
          <w:tcPr>
            <w:tcW w:w="3775" w:type="dxa"/>
          </w:tcPr>
          <w:p w14:paraId="30DE7AFE" w14:textId="77777777" w:rsidR="00263D1A" w:rsidRPr="00263D1A" w:rsidRDefault="00263D1A" w:rsidP="00263D1A">
            <w:r w:rsidRPr="00263D1A">
              <w:t>Risk Management</w:t>
            </w:r>
          </w:p>
          <w:p w14:paraId="62211E5D" w14:textId="77777777" w:rsidR="00263D1A" w:rsidRPr="00263D1A" w:rsidRDefault="00E5312D" w:rsidP="00263D1A">
            <w:pPr>
              <w:numPr>
                <w:ilvl w:val="0"/>
                <w:numId w:val="20"/>
              </w:numPr>
            </w:pPr>
            <w:hyperlink r:id="rId24" w:history="1">
              <w:r w:rsidR="00263D1A" w:rsidRPr="00263D1A">
                <w:rPr>
                  <w:rStyle w:val="Hyperlink"/>
                </w:rPr>
                <w:t>Policy</w:t>
              </w:r>
            </w:hyperlink>
          </w:p>
        </w:tc>
        <w:tc>
          <w:tcPr>
            <w:tcW w:w="5670" w:type="dxa"/>
          </w:tcPr>
          <w:p w14:paraId="2B96C98D" w14:textId="77777777" w:rsidR="00263D1A" w:rsidRPr="00263D1A" w:rsidRDefault="00263D1A" w:rsidP="00263D1A">
            <w:pPr>
              <w:rPr>
                <w:lang w:val="en"/>
              </w:rPr>
            </w:pPr>
            <w:r w:rsidRPr="00263D1A">
              <w:rPr>
                <w:lang w:val="en"/>
              </w:rPr>
              <w:t>The University of Florida has established a process to manage risks to the University of Florida that result from threats to the confidentiality, integrity and availability of University Data and Information Systems.</w:t>
            </w:r>
          </w:p>
          <w:p w14:paraId="52BEF20D" w14:textId="77777777" w:rsidR="00263D1A" w:rsidRPr="00263D1A" w:rsidRDefault="00263D1A" w:rsidP="00263D1A">
            <w:pPr>
              <w:rPr>
                <w:lang w:val="en"/>
              </w:rPr>
            </w:pPr>
          </w:p>
        </w:tc>
      </w:tr>
      <w:tr w:rsidR="00263D1A" w:rsidRPr="00263D1A" w14:paraId="4CB0FC6C" w14:textId="77777777" w:rsidTr="005D7F6A">
        <w:tc>
          <w:tcPr>
            <w:tcW w:w="3775" w:type="dxa"/>
          </w:tcPr>
          <w:p w14:paraId="1F580FE2" w14:textId="77777777" w:rsidR="00263D1A" w:rsidRPr="00263D1A" w:rsidRDefault="00263D1A" w:rsidP="00263D1A">
            <w:r w:rsidRPr="00263D1A">
              <w:t>Risk Assessment</w:t>
            </w:r>
          </w:p>
          <w:p w14:paraId="10662600" w14:textId="77777777" w:rsidR="00263D1A" w:rsidRPr="00263D1A" w:rsidRDefault="00E5312D" w:rsidP="00263D1A">
            <w:pPr>
              <w:numPr>
                <w:ilvl w:val="0"/>
                <w:numId w:val="20"/>
              </w:numPr>
            </w:pPr>
            <w:hyperlink r:id="rId25" w:history="1">
              <w:r w:rsidR="00263D1A" w:rsidRPr="00263D1A">
                <w:rPr>
                  <w:rStyle w:val="Hyperlink"/>
                </w:rPr>
                <w:t>Standard</w:t>
              </w:r>
            </w:hyperlink>
          </w:p>
          <w:p w14:paraId="39CC90C3" w14:textId="77777777" w:rsidR="00263D1A" w:rsidRPr="00263D1A" w:rsidRDefault="00263D1A" w:rsidP="00263D1A"/>
        </w:tc>
        <w:tc>
          <w:tcPr>
            <w:tcW w:w="5670" w:type="dxa"/>
          </w:tcPr>
          <w:p w14:paraId="77DA5C9B" w14:textId="77777777" w:rsidR="00263D1A" w:rsidRPr="00263D1A" w:rsidRDefault="00263D1A" w:rsidP="00263D1A">
            <w:pPr>
              <w:rPr>
                <w:lang w:val="en"/>
              </w:rPr>
            </w:pPr>
            <w:r w:rsidRPr="00263D1A">
              <w:rPr>
                <w:lang w:val="en"/>
              </w:rPr>
              <w:t>Establishes a process for assessing Information Systems for risks to systems and data; documenting and communicating those risks to university leadership to make decisions regarding the treatment or acceptance of those risks. The security and privacy of Restricted Data will be a primary focus of risk assessments.</w:t>
            </w:r>
          </w:p>
          <w:p w14:paraId="0F1FA95D" w14:textId="77777777" w:rsidR="00263D1A" w:rsidRPr="00263D1A" w:rsidRDefault="00263D1A" w:rsidP="00263D1A">
            <w:pPr>
              <w:rPr>
                <w:lang w:val="en"/>
              </w:rPr>
            </w:pPr>
          </w:p>
        </w:tc>
      </w:tr>
      <w:tr w:rsidR="00263D1A" w:rsidRPr="00263D1A" w14:paraId="37D3AE63" w14:textId="77777777" w:rsidTr="005D7F6A">
        <w:tc>
          <w:tcPr>
            <w:tcW w:w="3775" w:type="dxa"/>
          </w:tcPr>
          <w:p w14:paraId="3CD09872" w14:textId="77777777" w:rsidR="00263D1A" w:rsidRPr="00263D1A" w:rsidRDefault="00263D1A" w:rsidP="00263D1A">
            <w:r w:rsidRPr="00263D1A">
              <w:t>System Security Plans</w:t>
            </w:r>
          </w:p>
          <w:p w14:paraId="297525C2" w14:textId="77777777" w:rsidR="00263D1A" w:rsidRPr="00263D1A" w:rsidRDefault="00E5312D" w:rsidP="00263D1A">
            <w:pPr>
              <w:numPr>
                <w:ilvl w:val="0"/>
                <w:numId w:val="20"/>
              </w:numPr>
            </w:pPr>
            <w:hyperlink r:id="rId26" w:history="1">
              <w:r w:rsidR="00263D1A" w:rsidRPr="00263D1A">
                <w:rPr>
                  <w:rStyle w:val="Hyperlink"/>
                </w:rPr>
                <w:t>Standard</w:t>
              </w:r>
            </w:hyperlink>
          </w:p>
          <w:p w14:paraId="0E363CE0" w14:textId="77777777" w:rsidR="00263D1A" w:rsidRPr="00263D1A" w:rsidRDefault="00263D1A" w:rsidP="00263D1A"/>
        </w:tc>
        <w:tc>
          <w:tcPr>
            <w:tcW w:w="5670" w:type="dxa"/>
          </w:tcPr>
          <w:p w14:paraId="51CA1618" w14:textId="77777777" w:rsidR="00263D1A" w:rsidRPr="00263D1A" w:rsidRDefault="00263D1A" w:rsidP="00263D1A">
            <w:r w:rsidRPr="00263D1A">
              <w:t>Describes required elements of a system security plan (SSP), including review and approval and frequency for updating the SSP.</w:t>
            </w:r>
          </w:p>
          <w:p w14:paraId="50BE83D0" w14:textId="77777777" w:rsidR="00263D1A" w:rsidRPr="00263D1A" w:rsidRDefault="00263D1A" w:rsidP="00263D1A"/>
        </w:tc>
      </w:tr>
      <w:tr w:rsidR="00263D1A" w:rsidRPr="00263D1A" w14:paraId="4CC7A824" w14:textId="77777777" w:rsidTr="005D7F6A">
        <w:tc>
          <w:tcPr>
            <w:tcW w:w="3775" w:type="dxa"/>
          </w:tcPr>
          <w:p w14:paraId="4ED5CE0D" w14:textId="77777777" w:rsidR="00263D1A" w:rsidRPr="00263D1A" w:rsidRDefault="00263D1A" w:rsidP="00263D1A">
            <w:r w:rsidRPr="00263D1A">
              <w:t>Mobile Computing and Storage Devices</w:t>
            </w:r>
          </w:p>
          <w:p w14:paraId="7B4EAA80" w14:textId="77777777" w:rsidR="00263D1A" w:rsidRPr="00263D1A" w:rsidRDefault="00E5312D" w:rsidP="00263D1A">
            <w:pPr>
              <w:numPr>
                <w:ilvl w:val="0"/>
                <w:numId w:val="20"/>
              </w:numPr>
            </w:pPr>
            <w:hyperlink r:id="rId27" w:history="1">
              <w:r w:rsidR="00263D1A" w:rsidRPr="00263D1A">
                <w:rPr>
                  <w:rStyle w:val="Hyperlink"/>
                </w:rPr>
                <w:t>Policy</w:t>
              </w:r>
            </w:hyperlink>
          </w:p>
          <w:p w14:paraId="13EFF247" w14:textId="77777777" w:rsidR="00263D1A" w:rsidRPr="00263D1A" w:rsidRDefault="00E5312D" w:rsidP="00263D1A">
            <w:pPr>
              <w:numPr>
                <w:ilvl w:val="0"/>
                <w:numId w:val="20"/>
              </w:numPr>
            </w:pPr>
            <w:hyperlink r:id="rId28" w:history="1">
              <w:r w:rsidR="00263D1A" w:rsidRPr="00263D1A">
                <w:rPr>
                  <w:rStyle w:val="Hyperlink"/>
                </w:rPr>
                <w:t>Standard</w:t>
              </w:r>
            </w:hyperlink>
          </w:p>
          <w:p w14:paraId="772E5858" w14:textId="77777777" w:rsidR="00263D1A" w:rsidRPr="00263D1A" w:rsidRDefault="00263D1A" w:rsidP="00263D1A"/>
        </w:tc>
        <w:tc>
          <w:tcPr>
            <w:tcW w:w="5670" w:type="dxa"/>
          </w:tcPr>
          <w:p w14:paraId="48001DE8" w14:textId="77777777" w:rsidR="00263D1A" w:rsidRPr="00263D1A" w:rsidRDefault="00263D1A" w:rsidP="00263D1A">
            <w:pPr>
              <w:rPr>
                <w:lang w:val="en"/>
              </w:rPr>
            </w:pPr>
            <w:r w:rsidRPr="00263D1A">
              <w:rPr>
                <w:lang w:val="en"/>
              </w:rPr>
              <w:t>The University of Florida has established a policy for the use of mobile computing and storage devices, and to specify minimum configuration requirements.</w:t>
            </w:r>
          </w:p>
          <w:p w14:paraId="47882386" w14:textId="77777777" w:rsidR="00263D1A" w:rsidRPr="00263D1A" w:rsidRDefault="00263D1A" w:rsidP="00263D1A"/>
        </w:tc>
      </w:tr>
    </w:tbl>
    <w:p w14:paraId="2EDF119E" w14:textId="0420AB77" w:rsidR="00945EE5" w:rsidRPr="00263D1A" w:rsidRDefault="00945EE5" w:rsidP="00945EE5">
      <w:pPr>
        <w:rPr>
          <w:sz w:val="21"/>
          <w:szCs w:val="21"/>
        </w:rPr>
      </w:pPr>
    </w:p>
    <w:p w14:paraId="07D08542" w14:textId="46998EAA" w:rsidR="0067621A" w:rsidRPr="0067621A" w:rsidRDefault="0067621A" w:rsidP="0067621A">
      <w:bookmarkStart w:id="4" w:name="_GoBack"/>
      <w:bookmarkEnd w:id="4"/>
      <w:r>
        <w:t xml:space="preserve"> </w:t>
      </w:r>
    </w:p>
    <w:sectPr w:rsidR="0067621A" w:rsidRPr="0067621A" w:rsidSect="0036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654"/>
    <w:multiLevelType w:val="multilevel"/>
    <w:tmpl w:val="E07CA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24A2A"/>
    <w:multiLevelType w:val="hybridMultilevel"/>
    <w:tmpl w:val="C362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279FA"/>
    <w:multiLevelType w:val="hybridMultilevel"/>
    <w:tmpl w:val="8DCC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78123B"/>
    <w:multiLevelType w:val="hybridMultilevel"/>
    <w:tmpl w:val="4AD4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C4504F"/>
    <w:multiLevelType w:val="hybridMultilevel"/>
    <w:tmpl w:val="45D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CE30BC"/>
    <w:multiLevelType w:val="hybridMultilevel"/>
    <w:tmpl w:val="B7DA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B4102"/>
    <w:multiLevelType w:val="multilevel"/>
    <w:tmpl w:val="65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971C5"/>
    <w:multiLevelType w:val="hybridMultilevel"/>
    <w:tmpl w:val="6AFE2668"/>
    <w:lvl w:ilvl="0" w:tplc="04090001">
      <w:start w:val="1"/>
      <w:numFmt w:val="bullet"/>
      <w:lvlText w:val=""/>
      <w:lvlJc w:val="left"/>
      <w:pPr>
        <w:ind w:left="160" w:hanging="360"/>
      </w:pPr>
      <w:rPr>
        <w:rFonts w:ascii="Symbol" w:hAnsi="Symbol"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8" w15:restartNumberingAfterBreak="0">
    <w:nsid w:val="28365910"/>
    <w:multiLevelType w:val="hybridMultilevel"/>
    <w:tmpl w:val="F10C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1667B"/>
    <w:multiLevelType w:val="multilevel"/>
    <w:tmpl w:val="3BB03A6C"/>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0" w15:restartNumberingAfterBreak="0">
    <w:nsid w:val="471E04AE"/>
    <w:multiLevelType w:val="hybridMultilevel"/>
    <w:tmpl w:val="8DCE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D6B1F"/>
    <w:multiLevelType w:val="multilevel"/>
    <w:tmpl w:val="C7C0B178"/>
    <w:lvl w:ilvl="0">
      <w:start w:val="1"/>
      <w:numFmt w:val="decimal"/>
      <w:lvlText w:val="%1."/>
      <w:lvlJc w:val="left"/>
      <w:pPr>
        <w:ind w:left="360" w:hanging="360"/>
      </w:pPr>
      <w:rPr>
        <w:b/>
      </w:rPr>
    </w:lvl>
    <w:lvl w:ilvl="1">
      <w:start w:val="1"/>
      <w:numFmt w:val="decimal"/>
      <w:lvlText w:val="%1.%2."/>
      <w:lvlJc w:val="left"/>
      <w:pPr>
        <w:ind w:left="106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EE1B67"/>
    <w:multiLevelType w:val="hybridMultilevel"/>
    <w:tmpl w:val="CAD25042"/>
    <w:lvl w:ilvl="0" w:tplc="84DC7342">
      <w:start w:val="1"/>
      <w:numFmt w:val="bullet"/>
      <w:lvlText w:val=""/>
      <w:lvlJc w:val="left"/>
      <w:pPr>
        <w:ind w:left="859" w:hanging="360"/>
      </w:pPr>
      <w:rPr>
        <w:rFonts w:ascii="Symbol" w:eastAsia="Symbol" w:hAnsi="Symbol" w:hint="default"/>
        <w:w w:val="99"/>
        <w:sz w:val="22"/>
        <w:szCs w:val="22"/>
      </w:rPr>
    </w:lvl>
    <w:lvl w:ilvl="1" w:tplc="21E484B6">
      <w:start w:val="1"/>
      <w:numFmt w:val="bullet"/>
      <w:lvlText w:val="•"/>
      <w:lvlJc w:val="left"/>
      <w:pPr>
        <w:ind w:left="1737" w:hanging="360"/>
      </w:pPr>
      <w:rPr>
        <w:rFonts w:hint="default"/>
      </w:rPr>
    </w:lvl>
    <w:lvl w:ilvl="2" w:tplc="AA6217FC">
      <w:start w:val="1"/>
      <w:numFmt w:val="bullet"/>
      <w:lvlText w:val="•"/>
      <w:lvlJc w:val="left"/>
      <w:pPr>
        <w:ind w:left="2615" w:hanging="360"/>
      </w:pPr>
      <w:rPr>
        <w:rFonts w:hint="default"/>
      </w:rPr>
    </w:lvl>
    <w:lvl w:ilvl="3" w:tplc="8892DA70">
      <w:start w:val="1"/>
      <w:numFmt w:val="bullet"/>
      <w:lvlText w:val="•"/>
      <w:lvlJc w:val="left"/>
      <w:pPr>
        <w:ind w:left="3493" w:hanging="360"/>
      </w:pPr>
      <w:rPr>
        <w:rFonts w:hint="default"/>
      </w:rPr>
    </w:lvl>
    <w:lvl w:ilvl="4" w:tplc="7B226D64">
      <w:start w:val="1"/>
      <w:numFmt w:val="bullet"/>
      <w:lvlText w:val="•"/>
      <w:lvlJc w:val="left"/>
      <w:pPr>
        <w:ind w:left="4371" w:hanging="360"/>
      </w:pPr>
      <w:rPr>
        <w:rFonts w:hint="default"/>
      </w:rPr>
    </w:lvl>
    <w:lvl w:ilvl="5" w:tplc="FD3457DE">
      <w:start w:val="1"/>
      <w:numFmt w:val="bullet"/>
      <w:lvlText w:val="•"/>
      <w:lvlJc w:val="left"/>
      <w:pPr>
        <w:ind w:left="5249" w:hanging="360"/>
      </w:pPr>
      <w:rPr>
        <w:rFonts w:hint="default"/>
      </w:rPr>
    </w:lvl>
    <w:lvl w:ilvl="6" w:tplc="384419FC">
      <w:start w:val="1"/>
      <w:numFmt w:val="bullet"/>
      <w:lvlText w:val="•"/>
      <w:lvlJc w:val="left"/>
      <w:pPr>
        <w:ind w:left="6127" w:hanging="360"/>
      </w:pPr>
      <w:rPr>
        <w:rFonts w:hint="default"/>
      </w:rPr>
    </w:lvl>
    <w:lvl w:ilvl="7" w:tplc="2A9AC6EE">
      <w:start w:val="1"/>
      <w:numFmt w:val="bullet"/>
      <w:lvlText w:val="•"/>
      <w:lvlJc w:val="left"/>
      <w:pPr>
        <w:ind w:left="7005" w:hanging="360"/>
      </w:pPr>
      <w:rPr>
        <w:rFonts w:hint="default"/>
      </w:rPr>
    </w:lvl>
    <w:lvl w:ilvl="8" w:tplc="4F362864">
      <w:start w:val="1"/>
      <w:numFmt w:val="bullet"/>
      <w:lvlText w:val="•"/>
      <w:lvlJc w:val="left"/>
      <w:pPr>
        <w:ind w:left="7883" w:hanging="360"/>
      </w:pPr>
      <w:rPr>
        <w:rFonts w:hint="default"/>
      </w:rPr>
    </w:lvl>
  </w:abstractNum>
  <w:abstractNum w:abstractNumId="13" w15:restartNumberingAfterBreak="0">
    <w:nsid w:val="4A5B5268"/>
    <w:multiLevelType w:val="multilevel"/>
    <w:tmpl w:val="4D2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07DA3"/>
    <w:multiLevelType w:val="hybridMultilevel"/>
    <w:tmpl w:val="53E8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B10706"/>
    <w:multiLevelType w:val="hybridMultilevel"/>
    <w:tmpl w:val="2D2E8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D7C246B"/>
    <w:multiLevelType w:val="hybridMultilevel"/>
    <w:tmpl w:val="F6AC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D483D"/>
    <w:multiLevelType w:val="multilevel"/>
    <w:tmpl w:val="F516EC94"/>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8" w15:restartNumberingAfterBreak="0">
    <w:nsid w:val="60492DAA"/>
    <w:multiLevelType w:val="hybridMultilevel"/>
    <w:tmpl w:val="29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06657"/>
    <w:multiLevelType w:val="hybridMultilevel"/>
    <w:tmpl w:val="D1B6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F55F14"/>
    <w:multiLevelType w:val="multilevel"/>
    <w:tmpl w:val="6E0AEA9E"/>
    <w:lvl w:ilvl="0">
      <w:start w:val="1"/>
      <w:numFmt w:val="decimal"/>
      <w:pStyle w:val="Heading1"/>
      <w:lvlText w:val="%1"/>
      <w:lvlJc w:val="left"/>
      <w:pPr>
        <w:tabs>
          <w:tab w:val="num" w:pos="1242"/>
        </w:tabs>
        <w:ind w:left="1242" w:hanging="432"/>
      </w:pPr>
      <w:rPr>
        <w:rFonts w:hint="default"/>
        <w:i w:val="0"/>
        <w:color w:val="auto"/>
        <w:sz w:val="28"/>
        <w:szCs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504"/>
        </w:tabs>
        <w:ind w:left="504" w:hanging="864"/>
      </w:pPr>
      <w:rPr>
        <w:rFonts w:hint="default"/>
      </w:rPr>
    </w:lvl>
    <w:lvl w:ilvl="4">
      <w:start w:val="1"/>
      <w:numFmt w:val="decimal"/>
      <w:pStyle w:val="Heading5"/>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21" w15:restartNumberingAfterBreak="0">
    <w:nsid w:val="7B536E5C"/>
    <w:multiLevelType w:val="multilevel"/>
    <w:tmpl w:val="417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1"/>
  </w:num>
  <w:num w:numId="4">
    <w:abstractNumId w:val="18"/>
  </w:num>
  <w:num w:numId="5">
    <w:abstractNumId w:val="19"/>
  </w:num>
  <w:num w:numId="6">
    <w:abstractNumId w:val="5"/>
  </w:num>
  <w:num w:numId="7">
    <w:abstractNumId w:val="7"/>
  </w:num>
  <w:num w:numId="8">
    <w:abstractNumId w:val="2"/>
  </w:num>
  <w:num w:numId="9">
    <w:abstractNumId w:val="4"/>
  </w:num>
  <w:num w:numId="10">
    <w:abstractNumId w:val="3"/>
  </w:num>
  <w:num w:numId="11">
    <w:abstractNumId w:val="14"/>
  </w:num>
  <w:num w:numId="12">
    <w:abstractNumId w:val="17"/>
  </w:num>
  <w:num w:numId="13">
    <w:abstractNumId w:val="9"/>
  </w:num>
  <w:num w:numId="14">
    <w:abstractNumId w:val="13"/>
  </w:num>
  <w:num w:numId="15">
    <w:abstractNumId w:val="6"/>
  </w:num>
  <w:num w:numId="16">
    <w:abstractNumId w:val="21"/>
  </w:num>
  <w:num w:numId="17">
    <w:abstractNumId w:val="15"/>
  </w:num>
  <w:num w:numId="18">
    <w:abstractNumId w:val="8"/>
  </w:num>
  <w:num w:numId="19">
    <w:abstractNumId w:val="16"/>
  </w:num>
  <w:num w:numId="20">
    <w:abstractNumId w:val="10"/>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A3"/>
    <w:rsid w:val="000470B3"/>
    <w:rsid w:val="000F15D0"/>
    <w:rsid w:val="00114F46"/>
    <w:rsid w:val="0011767C"/>
    <w:rsid w:val="00132299"/>
    <w:rsid w:val="0017497D"/>
    <w:rsid w:val="001A3C76"/>
    <w:rsid w:val="00263D1A"/>
    <w:rsid w:val="003645B9"/>
    <w:rsid w:val="003D6E00"/>
    <w:rsid w:val="003F31AA"/>
    <w:rsid w:val="005F22DD"/>
    <w:rsid w:val="0067621A"/>
    <w:rsid w:val="00732A63"/>
    <w:rsid w:val="007567BE"/>
    <w:rsid w:val="00815536"/>
    <w:rsid w:val="00845AA3"/>
    <w:rsid w:val="00853087"/>
    <w:rsid w:val="00945EE5"/>
    <w:rsid w:val="009A624C"/>
    <w:rsid w:val="009D79E6"/>
    <w:rsid w:val="00A95A34"/>
    <w:rsid w:val="00B73129"/>
    <w:rsid w:val="00B82FD6"/>
    <w:rsid w:val="00C159AF"/>
    <w:rsid w:val="00C15E98"/>
    <w:rsid w:val="00C7475E"/>
    <w:rsid w:val="00E05F74"/>
    <w:rsid w:val="00E5312D"/>
    <w:rsid w:val="00E8419A"/>
    <w:rsid w:val="00EA6684"/>
    <w:rsid w:val="00F9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95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97D"/>
    <w:rPr>
      <w:rFonts w:ascii="Times New Roman" w:hAnsi="Times New Roman" w:cs="Times New Roman"/>
    </w:rPr>
  </w:style>
  <w:style w:type="paragraph" w:styleId="Heading1">
    <w:name w:val="heading 1"/>
    <w:aliases w:val="h1"/>
    <w:basedOn w:val="Normal"/>
    <w:next w:val="Normal"/>
    <w:link w:val="Heading1Char"/>
    <w:uiPriority w:val="9"/>
    <w:qFormat/>
    <w:rsid w:val="001A3C76"/>
    <w:pPr>
      <w:keepNext/>
      <w:numPr>
        <w:numId w:val="1"/>
      </w:numPr>
      <w:tabs>
        <w:tab w:val="clear" w:pos="1242"/>
        <w:tab w:val="num" w:pos="432"/>
      </w:tabs>
      <w:spacing w:before="240" w:after="240"/>
      <w:ind w:left="432"/>
      <w:outlineLvl w:val="0"/>
    </w:pPr>
    <w:rPr>
      <w:rFonts w:ascii="Arial" w:hAnsi="Arial" w:cs="Arial"/>
      <w:b/>
      <w:bCs/>
      <w:kern w:val="32"/>
      <w:sz w:val="28"/>
      <w:szCs w:val="32"/>
    </w:rPr>
  </w:style>
  <w:style w:type="paragraph" w:styleId="Heading2">
    <w:name w:val="heading 2"/>
    <w:aliases w:val="h2"/>
    <w:basedOn w:val="Normal"/>
    <w:next w:val="Normal"/>
    <w:link w:val="Heading2Char"/>
    <w:uiPriority w:val="9"/>
    <w:qFormat/>
    <w:rsid w:val="001A3C76"/>
    <w:pPr>
      <w:keepNext/>
      <w:numPr>
        <w:ilvl w:val="1"/>
        <w:numId w:val="1"/>
      </w:numPr>
      <w:tabs>
        <w:tab w:val="left" w:pos="720"/>
      </w:tabs>
      <w:spacing w:before="240" w:after="120"/>
      <w:jc w:val="both"/>
      <w:outlineLvl w:val="1"/>
    </w:pPr>
    <w:rPr>
      <w:rFonts w:ascii="Arial" w:hAnsi="Arial" w:cs="Arial"/>
      <w:b/>
      <w:bCs/>
      <w:i/>
      <w:iCs/>
      <w:sz w:val="28"/>
      <w:szCs w:val="28"/>
    </w:rPr>
  </w:style>
  <w:style w:type="paragraph" w:styleId="Heading3">
    <w:name w:val="heading 3"/>
    <w:aliases w:val="l3,h3"/>
    <w:basedOn w:val="Normal"/>
    <w:next w:val="Normal"/>
    <w:link w:val="Heading3Char"/>
    <w:uiPriority w:val="9"/>
    <w:qFormat/>
    <w:rsid w:val="001A3C76"/>
    <w:pPr>
      <w:keepNext/>
      <w:numPr>
        <w:ilvl w:val="2"/>
        <w:numId w:val="1"/>
      </w:numPr>
      <w:tabs>
        <w:tab w:val="left" w:pos="864"/>
      </w:tabs>
      <w:spacing w:before="240" w:after="60"/>
      <w:jc w:val="both"/>
      <w:outlineLvl w:val="2"/>
    </w:pPr>
    <w:rPr>
      <w:rFonts w:ascii="Arial" w:hAnsi="Arial" w:cs="Arial"/>
      <w:b/>
      <w:bCs/>
      <w:sz w:val="26"/>
      <w:szCs w:val="26"/>
    </w:rPr>
  </w:style>
  <w:style w:type="paragraph" w:styleId="Heading4">
    <w:name w:val="heading 4"/>
    <w:aliases w:val="l4,heading 4,h4"/>
    <w:basedOn w:val="Normal"/>
    <w:next w:val="Normal"/>
    <w:link w:val="Heading4Char"/>
    <w:uiPriority w:val="9"/>
    <w:qFormat/>
    <w:rsid w:val="001A3C76"/>
    <w:pPr>
      <w:keepNext/>
      <w:numPr>
        <w:ilvl w:val="3"/>
        <w:numId w:val="1"/>
      </w:numPr>
      <w:spacing w:before="240" w:after="60"/>
      <w:jc w:val="both"/>
      <w:outlineLvl w:val="3"/>
    </w:pPr>
    <w:rPr>
      <w:b/>
      <w:bCs/>
      <w:sz w:val="28"/>
      <w:szCs w:val="28"/>
    </w:rPr>
  </w:style>
  <w:style w:type="paragraph" w:styleId="Heading5">
    <w:name w:val="heading 5"/>
    <w:aliases w:val="h5,h5 Char"/>
    <w:basedOn w:val="Normal"/>
    <w:next w:val="Normal"/>
    <w:link w:val="Heading5Char"/>
    <w:uiPriority w:val="9"/>
    <w:qFormat/>
    <w:rsid w:val="001A3C76"/>
    <w:pPr>
      <w:numPr>
        <w:ilvl w:val="4"/>
        <w:numId w:val="1"/>
      </w:numPr>
      <w:spacing w:before="240" w:after="60"/>
      <w:jc w:val="both"/>
      <w:outlineLvl w:val="4"/>
    </w:pPr>
    <w:rPr>
      <w:b/>
      <w:bCs/>
      <w:i/>
      <w:iCs/>
      <w:sz w:val="26"/>
      <w:szCs w:val="26"/>
    </w:rPr>
  </w:style>
  <w:style w:type="paragraph" w:styleId="Heading6">
    <w:name w:val="heading 6"/>
    <w:basedOn w:val="Normal"/>
    <w:next w:val="Normal"/>
    <w:link w:val="Heading6Char"/>
    <w:uiPriority w:val="9"/>
    <w:qFormat/>
    <w:rsid w:val="001A3C76"/>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qFormat/>
    <w:rsid w:val="001A3C76"/>
    <w:pPr>
      <w:numPr>
        <w:ilvl w:val="6"/>
        <w:numId w:val="1"/>
      </w:numPr>
      <w:spacing w:before="240" w:after="60"/>
      <w:jc w:val="both"/>
      <w:outlineLvl w:val="6"/>
    </w:pPr>
  </w:style>
  <w:style w:type="paragraph" w:styleId="Heading8">
    <w:name w:val="heading 8"/>
    <w:basedOn w:val="Normal"/>
    <w:next w:val="Normal"/>
    <w:link w:val="Heading8Char"/>
    <w:uiPriority w:val="9"/>
    <w:qFormat/>
    <w:rsid w:val="001A3C76"/>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1A3C7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45AA3"/>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uiPriority w:val="9"/>
    <w:rsid w:val="00845AA3"/>
    <w:rPr>
      <w:rFonts w:ascii="Arial" w:eastAsia="Times New Roman" w:hAnsi="Arial" w:cs="Arial"/>
      <w:b/>
      <w:bCs/>
      <w:i/>
      <w:iCs/>
      <w:sz w:val="28"/>
      <w:szCs w:val="28"/>
    </w:rPr>
  </w:style>
  <w:style w:type="character" w:customStyle="1" w:styleId="Heading3Char">
    <w:name w:val="Heading 3 Char"/>
    <w:aliases w:val="l3 Char,h3 Char"/>
    <w:basedOn w:val="DefaultParagraphFont"/>
    <w:link w:val="Heading3"/>
    <w:uiPriority w:val="9"/>
    <w:rsid w:val="00845AA3"/>
    <w:rPr>
      <w:rFonts w:ascii="Arial" w:eastAsia="Times New Roman" w:hAnsi="Arial" w:cs="Arial"/>
      <w:b/>
      <w:bCs/>
      <w:sz w:val="26"/>
      <w:szCs w:val="26"/>
    </w:rPr>
  </w:style>
  <w:style w:type="character" w:customStyle="1" w:styleId="Heading4Char">
    <w:name w:val="Heading 4 Char"/>
    <w:aliases w:val="l4 Char,heading 4 Char,h4 Char"/>
    <w:basedOn w:val="DefaultParagraphFont"/>
    <w:link w:val="Heading4"/>
    <w:uiPriority w:val="9"/>
    <w:rsid w:val="00845AA3"/>
    <w:rPr>
      <w:rFonts w:ascii="Times New Roman" w:eastAsia="Times New Roman" w:hAnsi="Times New Roman" w:cs="Times New Roman"/>
      <w:b/>
      <w:bCs/>
      <w:sz w:val="28"/>
      <w:szCs w:val="28"/>
    </w:rPr>
  </w:style>
  <w:style w:type="character" w:customStyle="1" w:styleId="Heading5Char">
    <w:name w:val="Heading 5 Char"/>
    <w:aliases w:val="h5 Char1,h5 Char Char"/>
    <w:basedOn w:val="DefaultParagraphFont"/>
    <w:link w:val="Heading5"/>
    <w:uiPriority w:val="9"/>
    <w:rsid w:val="00845A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45AA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845AA3"/>
    <w:rPr>
      <w:rFonts w:ascii="Times New Roman" w:eastAsia="Times New Roman" w:hAnsi="Times New Roman" w:cs="Times New Roman"/>
    </w:rPr>
  </w:style>
  <w:style w:type="character" w:customStyle="1" w:styleId="Heading8Char">
    <w:name w:val="Heading 8 Char"/>
    <w:basedOn w:val="DefaultParagraphFont"/>
    <w:link w:val="Heading8"/>
    <w:uiPriority w:val="9"/>
    <w:rsid w:val="00845AA3"/>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845AA3"/>
    <w:rPr>
      <w:rFonts w:ascii="Arial" w:eastAsia="Times New Roman" w:hAnsi="Arial" w:cs="Arial"/>
      <w:sz w:val="22"/>
      <w:szCs w:val="22"/>
    </w:rPr>
  </w:style>
  <w:style w:type="character" w:styleId="Hyperlink">
    <w:name w:val="Hyperlink"/>
    <w:basedOn w:val="DefaultParagraphFont"/>
    <w:uiPriority w:val="99"/>
    <w:rsid w:val="00845AA3"/>
    <w:rPr>
      <w:color w:val="0000FF"/>
      <w:u w:val="single"/>
    </w:rPr>
  </w:style>
  <w:style w:type="paragraph" w:customStyle="1" w:styleId="Proposal-Text">
    <w:name w:val="Proposal-Text"/>
    <w:basedOn w:val="Normal"/>
    <w:qFormat/>
    <w:rsid w:val="00845AA3"/>
    <w:pPr>
      <w:spacing w:before="60" w:after="100"/>
      <w:jc w:val="both"/>
    </w:pPr>
    <w:rPr>
      <w:rFonts w:ascii="Times" w:eastAsia="Times New Roman" w:hAnsi="Times"/>
      <w:sz w:val="22"/>
    </w:rPr>
  </w:style>
  <w:style w:type="paragraph" w:styleId="BodyText">
    <w:name w:val="Body Text"/>
    <w:basedOn w:val="Normal"/>
    <w:link w:val="BodyTextChar"/>
    <w:uiPriority w:val="1"/>
    <w:qFormat/>
    <w:rsid w:val="00845AA3"/>
    <w:pPr>
      <w:widowControl w:val="0"/>
      <w:spacing w:before="98"/>
      <w:ind w:left="140"/>
    </w:pPr>
    <w:rPr>
      <w:rFonts w:eastAsia="Times New Roman" w:cstheme="minorBidi"/>
      <w:sz w:val="22"/>
      <w:szCs w:val="22"/>
    </w:rPr>
  </w:style>
  <w:style w:type="character" w:customStyle="1" w:styleId="BodyTextChar">
    <w:name w:val="Body Text Char"/>
    <w:basedOn w:val="DefaultParagraphFont"/>
    <w:link w:val="BodyText"/>
    <w:uiPriority w:val="1"/>
    <w:rsid w:val="00845AA3"/>
    <w:rPr>
      <w:rFonts w:ascii="Times New Roman" w:eastAsia="Times New Roman" w:hAnsi="Times New Roman"/>
      <w:sz w:val="22"/>
      <w:szCs w:val="22"/>
    </w:rPr>
  </w:style>
  <w:style w:type="paragraph" w:customStyle="1" w:styleId="Default">
    <w:name w:val="Default"/>
    <w:rsid w:val="00845AA3"/>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C15E98"/>
    <w:pPr>
      <w:ind w:left="720"/>
      <w:contextualSpacing/>
      <w:jc w:val="both"/>
    </w:pPr>
    <w:rPr>
      <w:rFonts w:eastAsia="Times New Roman"/>
    </w:rPr>
  </w:style>
  <w:style w:type="character" w:styleId="Strong">
    <w:name w:val="Strong"/>
    <w:basedOn w:val="DefaultParagraphFont"/>
    <w:uiPriority w:val="22"/>
    <w:qFormat/>
    <w:rsid w:val="0017497D"/>
    <w:rPr>
      <w:b/>
      <w:bCs/>
    </w:rPr>
  </w:style>
  <w:style w:type="character" w:styleId="Emphasis">
    <w:name w:val="Emphasis"/>
    <w:basedOn w:val="DefaultParagraphFont"/>
    <w:uiPriority w:val="20"/>
    <w:qFormat/>
    <w:rsid w:val="00945EE5"/>
    <w:rPr>
      <w:i/>
      <w:iCs/>
    </w:rPr>
  </w:style>
  <w:style w:type="character" w:styleId="UnresolvedMention">
    <w:name w:val="Unresolved Mention"/>
    <w:basedOn w:val="DefaultParagraphFont"/>
    <w:uiPriority w:val="99"/>
    <w:rsid w:val="00945EE5"/>
    <w:rPr>
      <w:color w:val="808080"/>
      <w:shd w:val="clear" w:color="auto" w:fill="E6E6E6"/>
    </w:rPr>
  </w:style>
  <w:style w:type="paragraph" w:styleId="Footer">
    <w:name w:val="footer"/>
    <w:basedOn w:val="Normal"/>
    <w:link w:val="FooterChar"/>
    <w:uiPriority w:val="99"/>
    <w:unhideWhenUsed/>
    <w:rsid w:val="009A624C"/>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9A624C"/>
    <w:rPr>
      <w:sz w:val="22"/>
      <w:szCs w:val="22"/>
    </w:rPr>
  </w:style>
  <w:style w:type="table" w:styleId="TableGridLight">
    <w:name w:val="Grid Table Light"/>
    <w:basedOn w:val="TableNormal"/>
    <w:uiPriority w:val="40"/>
    <w:rsid w:val="00263D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63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8316">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sChild>
        <w:div w:id="547685638">
          <w:marLeft w:val="0"/>
          <w:marRight w:val="0"/>
          <w:marTop w:val="0"/>
          <w:marBottom w:val="0"/>
          <w:divBdr>
            <w:top w:val="none" w:sz="0" w:space="0" w:color="auto"/>
            <w:left w:val="none" w:sz="0" w:space="0" w:color="auto"/>
            <w:bottom w:val="none" w:sz="0" w:space="0" w:color="auto"/>
            <w:right w:val="none" w:sz="0" w:space="0" w:color="auto"/>
          </w:divBdr>
        </w:div>
        <w:div w:id="1313948085">
          <w:marLeft w:val="0"/>
          <w:marRight w:val="0"/>
          <w:marTop w:val="0"/>
          <w:marBottom w:val="0"/>
          <w:divBdr>
            <w:top w:val="none" w:sz="0" w:space="0" w:color="auto"/>
            <w:left w:val="none" w:sz="0" w:space="0" w:color="auto"/>
            <w:bottom w:val="none" w:sz="0" w:space="0" w:color="auto"/>
            <w:right w:val="none" w:sz="0" w:space="0" w:color="auto"/>
          </w:divBdr>
        </w:div>
      </w:divsChild>
    </w:div>
    <w:div w:id="585918136">
      <w:bodyDiv w:val="1"/>
      <w:marLeft w:val="0"/>
      <w:marRight w:val="0"/>
      <w:marTop w:val="0"/>
      <w:marBottom w:val="0"/>
      <w:divBdr>
        <w:top w:val="none" w:sz="0" w:space="0" w:color="auto"/>
        <w:left w:val="none" w:sz="0" w:space="0" w:color="auto"/>
        <w:bottom w:val="none" w:sz="0" w:space="0" w:color="auto"/>
        <w:right w:val="none" w:sz="0" w:space="0" w:color="auto"/>
      </w:divBdr>
    </w:div>
    <w:div w:id="611326703">
      <w:bodyDiv w:val="1"/>
      <w:marLeft w:val="0"/>
      <w:marRight w:val="0"/>
      <w:marTop w:val="0"/>
      <w:marBottom w:val="0"/>
      <w:divBdr>
        <w:top w:val="none" w:sz="0" w:space="0" w:color="auto"/>
        <w:left w:val="none" w:sz="0" w:space="0" w:color="auto"/>
        <w:bottom w:val="none" w:sz="0" w:space="0" w:color="auto"/>
        <w:right w:val="none" w:sz="0" w:space="0" w:color="auto"/>
      </w:divBdr>
    </w:div>
    <w:div w:id="1038160471">
      <w:bodyDiv w:val="1"/>
      <w:marLeft w:val="0"/>
      <w:marRight w:val="0"/>
      <w:marTop w:val="0"/>
      <w:marBottom w:val="0"/>
      <w:divBdr>
        <w:top w:val="none" w:sz="0" w:space="0" w:color="auto"/>
        <w:left w:val="none" w:sz="0" w:space="0" w:color="auto"/>
        <w:bottom w:val="none" w:sz="0" w:space="0" w:color="auto"/>
        <w:right w:val="none" w:sz="0" w:space="0" w:color="auto"/>
      </w:divBdr>
    </w:div>
    <w:div w:id="1071587850">
      <w:bodyDiv w:val="1"/>
      <w:marLeft w:val="0"/>
      <w:marRight w:val="0"/>
      <w:marTop w:val="0"/>
      <w:marBottom w:val="0"/>
      <w:divBdr>
        <w:top w:val="none" w:sz="0" w:space="0" w:color="auto"/>
        <w:left w:val="none" w:sz="0" w:space="0" w:color="auto"/>
        <w:bottom w:val="none" w:sz="0" w:space="0" w:color="auto"/>
        <w:right w:val="none" w:sz="0" w:space="0" w:color="auto"/>
      </w:divBdr>
    </w:div>
    <w:div w:id="1096944722">
      <w:bodyDiv w:val="1"/>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 w:id="925577805">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034768650">
          <w:marLeft w:val="0"/>
          <w:marRight w:val="0"/>
          <w:marTop w:val="0"/>
          <w:marBottom w:val="0"/>
          <w:divBdr>
            <w:top w:val="none" w:sz="0" w:space="0" w:color="auto"/>
            <w:left w:val="none" w:sz="0" w:space="0" w:color="auto"/>
            <w:bottom w:val="none" w:sz="0" w:space="0" w:color="auto"/>
            <w:right w:val="none" w:sz="0" w:space="0" w:color="auto"/>
          </w:divBdr>
        </w:div>
        <w:div w:id="2136873991">
          <w:marLeft w:val="0"/>
          <w:marRight w:val="0"/>
          <w:marTop w:val="0"/>
          <w:marBottom w:val="0"/>
          <w:divBdr>
            <w:top w:val="none" w:sz="0" w:space="0" w:color="auto"/>
            <w:left w:val="none" w:sz="0" w:space="0" w:color="auto"/>
            <w:bottom w:val="none" w:sz="0" w:space="0" w:color="auto"/>
            <w:right w:val="none" w:sz="0" w:space="0" w:color="auto"/>
          </w:divBdr>
        </w:div>
      </w:divsChild>
    </w:div>
    <w:div w:id="1195657917">
      <w:bodyDiv w:val="1"/>
      <w:marLeft w:val="0"/>
      <w:marRight w:val="0"/>
      <w:marTop w:val="0"/>
      <w:marBottom w:val="0"/>
      <w:divBdr>
        <w:top w:val="none" w:sz="0" w:space="0" w:color="auto"/>
        <w:left w:val="none" w:sz="0" w:space="0" w:color="auto"/>
        <w:bottom w:val="none" w:sz="0" w:space="0" w:color="auto"/>
        <w:right w:val="none" w:sz="0" w:space="0" w:color="auto"/>
      </w:divBdr>
    </w:div>
    <w:div w:id="1377659775">
      <w:bodyDiv w:val="1"/>
      <w:marLeft w:val="0"/>
      <w:marRight w:val="0"/>
      <w:marTop w:val="0"/>
      <w:marBottom w:val="0"/>
      <w:divBdr>
        <w:top w:val="none" w:sz="0" w:space="0" w:color="auto"/>
        <w:left w:val="none" w:sz="0" w:space="0" w:color="auto"/>
        <w:bottom w:val="none" w:sz="0" w:space="0" w:color="auto"/>
        <w:right w:val="none" w:sz="0" w:space="0" w:color="auto"/>
      </w:divBdr>
    </w:div>
    <w:div w:id="1489594782">
      <w:bodyDiv w:val="1"/>
      <w:marLeft w:val="0"/>
      <w:marRight w:val="0"/>
      <w:marTop w:val="0"/>
      <w:marBottom w:val="0"/>
      <w:divBdr>
        <w:top w:val="none" w:sz="0" w:space="0" w:color="auto"/>
        <w:left w:val="none" w:sz="0" w:space="0" w:color="auto"/>
        <w:bottom w:val="none" w:sz="0" w:space="0" w:color="auto"/>
        <w:right w:val="none" w:sz="0" w:space="0" w:color="auto"/>
      </w:divBdr>
    </w:div>
    <w:div w:id="1703557120">
      <w:bodyDiv w:val="1"/>
      <w:marLeft w:val="0"/>
      <w:marRight w:val="0"/>
      <w:marTop w:val="0"/>
      <w:marBottom w:val="0"/>
      <w:divBdr>
        <w:top w:val="none" w:sz="0" w:space="0" w:color="auto"/>
        <w:left w:val="none" w:sz="0" w:space="0" w:color="auto"/>
        <w:bottom w:val="none" w:sz="0" w:space="0" w:color="auto"/>
        <w:right w:val="none" w:sz="0" w:space="0" w:color="auto"/>
      </w:divBdr>
    </w:div>
    <w:div w:id="1711418190">
      <w:bodyDiv w:val="1"/>
      <w:marLeft w:val="0"/>
      <w:marRight w:val="0"/>
      <w:marTop w:val="0"/>
      <w:marBottom w:val="0"/>
      <w:divBdr>
        <w:top w:val="none" w:sz="0" w:space="0" w:color="auto"/>
        <w:left w:val="none" w:sz="0" w:space="0" w:color="auto"/>
        <w:bottom w:val="none" w:sz="0" w:space="0" w:color="auto"/>
        <w:right w:val="none" w:sz="0" w:space="0" w:color="auto"/>
      </w:divBdr>
    </w:div>
    <w:div w:id="1922175398">
      <w:bodyDiv w:val="1"/>
      <w:marLeft w:val="0"/>
      <w:marRight w:val="0"/>
      <w:marTop w:val="0"/>
      <w:marBottom w:val="0"/>
      <w:divBdr>
        <w:top w:val="none" w:sz="0" w:space="0" w:color="auto"/>
        <w:left w:val="none" w:sz="0" w:space="0" w:color="auto"/>
        <w:bottom w:val="none" w:sz="0" w:space="0" w:color="auto"/>
        <w:right w:val="none" w:sz="0" w:space="0" w:color="auto"/>
      </w:divBdr>
      <w:divsChild>
        <w:div w:id="793525047">
          <w:marLeft w:val="0"/>
          <w:marRight w:val="0"/>
          <w:marTop w:val="0"/>
          <w:marBottom w:val="0"/>
          <w:divBdr>
            <w:top w:val="none" w:sz="0" w:space="0" w:color="auto"/>
            <w:left w:val="none" w:sz="0" w:space="0" w:color="auto"/>
            <w:bottom w:val="none" w:sz="0" w:space="0" w:color="auto"/>
            <w:right w:val="none" w:sz="0" w:space="0" w:color="auto"/>
          </w:divBdr>
        </w:div>
        <w:div w:id="1091438428">
          <w:marLeft w:val="0"/>
          <w:marRight w:val="0"/>
          <w:marTop w:val="0"/>
          <w:marBottom w:val="0"/>
          <w:divBdr>
            <w:top w:val="none" w:sz="0" w:space="0" w:color="auto"/>
            <w:left w:val="none" w:sz="0" w:space="0" w:color="auto"/>
            <w:bottom w:val="none" w:sz="0" w:space="0" w:color="auto"/>
            <w:right w:val="none" w:sz="0" w:space="0" w:color="auto"/>
          </w:divBdr>
        </w:div>
        <w:div w:id="15812118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ufl.edu" TargetMode="External"/><Relationship Id="rId13" Type="http://schemas.openxmlformats.org/officeDocument/2006/relationships/hyperlink" Target="mailto:shawn@eng.ufl.edu" TargetMode="External"/><Relationship Id="rId18" Type="http://schemas.openxmlformats.org/officeDocument/2006/relationships/hyperlink" Target="http://www.it.ufl.edu/policies/information-security/authentication-management-standard/" TargetMode="External"/><Relationship Id="rId26" Type="http://schemas.openxmlformats.org/officeDocument/2006/relationships/hyperlink" Target="http://www.it.ufl.edu/policies/information-security/system-security-plans-standard/" TargetMode="External"/><Relationship Id="rId3" Type="http://schemas.openxmlformats.org/officeDocument/2006/relationships/styles" Target="styles.xml"/><Relationship Id="rId21" Type="http://schemas.openxmlformats.org/officeDocument/2006/relationships/hyperlink" Target="http://www.it.ufl.edu/policies/information-security/external-it-vendor-sourcing-standard/" TargetMode="External"/><Relationship Id="rId7" Type="http://schemas.openxmlformats.org/officeDocument/2006/relationships/hyperlink" Target="http://www.it.ufl.edu/policies/information-security/risk-assessment-standard/" TargetMode="External"/><Relationship Id="rId12" Type="http://schemas.openxmlformats.org/officeDocument/2006/relationships/hyperlink" Target="mailto:Justin.r.davis@ufl.edu" TargetMode="External"/><Relationship Id="rId17" Type="http://schemas.openxmlformats.org/officeDocument/2006/relationships/hyperlink" Target="http://www.it.ufl.edu/policies/information-security/authentication-management-policy/" TargetMode="External"/><Relationship Id="rId25" Type="http://schemas.openxmlformats.org/officeDocument/2006/relationships/hyperlink" Target="http://www.it.ufl.edu/policies/information-security/risk-assessment-standard/" TargetMode="External"/><Relationship Id="rId2" Type="http://schemas.openxmlformats.org/officeDocument/2006/relationships/numbering" Target="numbering.xml"/><Relationship Id="rId16" Type="http://schemas.openxmlformats.org/officeDocument/2006/relationships/hyperlink" Target="http://www.it.ufl.edu/policies/information-security/account-management-standard/" TargetMode="External"/><Relationship Id="rId20" Type="http://schemas.openxmlformats.org/officeDocument/2006/relationships/hyperlink" Target="http://www.it.ufl.edu/policies/information-security/data-classification-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it.ufl.edu/policies/information-security/risk-management-policy/" TargetMode="External"/><Relationship Id="rId11" Type="http://schemas.openxmlformats.org/officeDocument/2006/relationships/hyperlink" Target="mailto:masters@eng.ufl.edu" TargetMode="External"/><Relationship Id="rId24" Type="http://schemas.openxmlformats.org/officeDocument/2006/relationships/hyperlink" Target="http://www.it.ufl.edu/policies/information-security/risk-management-policy/" TargetMode="External"/><Relationship Id="rId5" Type="http://schemas.openxmlformats.org/officeDocument/2006/relationships/webSettings" Target="webSettings.xml"/><Relationship Id="rId15" Type="http://schemas.openxmlformats.org/officeDocument/2006/relationships/hyperlink" Target="http://www.it.ufl.edu/policies/information-security/account-management-policy/" TargetMode="External"/><Relationship Id="rId23" Type="http://schemas.openxmlformats.org/officeDocument/2006/relationships/hyperlink" Target="http://www.it.ufl.edu/policies/information-security/policy-backup-and-recovery/" TargetMode="External"/><Relationship Id="rId28" Type="http://schemas.openxmlformats.org/officeDocument/2006/relationships/hyperlink" Target="http://www.it.ufl.edu/policies/information-security/mobile-computing-storage-devices/standard/" TargetMode="External"/><Relationship Id="rId10" Type="http://schemas.openxmlformats.org/officeDocument/2006/relationships/hyperlink" Target="mailto:aliciatu@ufl.edu" TargetMode="External"/><Relationship Id="rId19" Type="http://schemas.openxmlformats.org/officeDocument/2006/relationships/hyperlink" Target="http://www.it.ufl.edu/policies/information-security/data-classification/" TargetMode="External"/><Relationship Id="rId4" Type="http://schemas.openxmlformats.org/officeDocument/2006/relationships/settings" Target="settings.xml"/><Relationship Id="rId9" Type="http://schemas.openxmlformats.org/officeDocument/2006/relationships/hyperlink" Target="mailto:cherylgranto@ufl.edu" TargetMode="External"/><Relationship Id="rId14" Type="http://schemas.openxmlformats.org/officeDocument/2006/relationships/hyperlink" Target="http://www.it.ufl.edu/policies/information-security/mobile-computing-storage-devices/definition-of-terms/" TargetMode="External"/><Relationship Id="rId22" Type="http://schemas.openxmlformats.org/officeDocument/2006/relationships/hyperlink" Target="http://www.it.ufl.edu/policies/information-security/password-complexity-standard/" TargetMode="External"/><Relationship Id="rId27" Type="http://schemas.openxmlformats.org/officeDocument/2006/relationships/hyperlink" Target="http://www.it.ufl.edu/policies/information-security/mobile-computing-storage-devi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D8F0-3FEE-4246-BEE8-9F64AAA2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Cockerill</dc:creator>
  <cp:keywords/>
  <dc:description/>
  <cp:lastModifiedBy>Tim Cockerill</cp:lastModifiedBy>
  <cp:revision>4</cp:revision>
  <cp:lastPrinted>2018-05-08T15:04:00Z</cp:lastPrinted>
  <dcterms:created xsi:type="dcterms:W3CDTF">2018-05-08T14:03:00Z</dcterms:created>
  <dcterms:modified xsi:type="dcterms:W3CDTF">2018-05-09T16:16:00Z</dcterms:modified>
</cp:coreProperties>
</file>