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4DBD2170" w14:textId="77777777" w:rsidR="00094779" w:rsidRPr="002E6533" w:rsidRDefault="00094779" w:rsidP="002E6533">
      <w:r w:rsidRPr="002E6533">
        <w:t>The Information Resources Use and Security Policy provides The University of Texas at Austin (U. T. Austin) with guidance and defines responsibilities and procedures relating to the operational implementation of the </w:t>
      </w:r>
      <w:hyperlink r:id="rId5" w:history="1">
        <w:r w:rsidRPr="002E6533">
          <w:t>UT System Information Resources Use and Security Policy (UTS 165)</w:t>
        </w:r>
      </w:hyperlink>
      <w:r w:rsidRPr="002E6533">
        <w:t>. For ease of reference both documents share the same organizational structure and a common table of contents.</w:t>
      </w:r>
    </w:p>
    <w:p w14:paraId="1746413E" w14:textId="77777777" w:rsidR="002E6533" w:rsidRDefault="002E6533" w:rsidP="002E6533"/>
    <w:p w14:paraId="6BB8AE49" w14:textId="77777777" w:rsidR="00094779" w:rsidRPr="002E6533" w:rsidRDefault="00094779" w:rsidP="002E6533">
      <w:pPr>
        <w:rPr>
          <w:rFonts w:eastAsia="Times New Roman" w:cstheme="minorBidi"/>
          <w:b/>
          <w:spacing w:val="-1"/>
          <w:sz w:val="22"/>
          <w:szCs w:val="22"/>
        </w:rPr>
      </w:pPr>
      <w:r w:rsidRPr="002E6533">
        <w:t>Title 1 Texas Administrative Code 202.70 (1) states that it is the policy of the state of Texas that information resources residing in the various agencies of State government are strategic and vital assets belonging to the people of Texas. Assets of the university must be available and protected commensurate with their value and must be administered in conformance with federal and state law and UT System </w:t>
      </w:r>
      <w:hyperlink r:id="rId6" w:history="1">
        <w:r w:rsidRPr="002E6533">
          <w:t>Regents' Rules</w:t>
        </w:r>
      </w:hyperlink>
      <w:r w:rsidRPr="002E6533">
        <w:t>. This Policy provides requirements and guidelines to:  establish accountability and prudent and acceptable practices regarding the use and safeguarding of the university's information resources; protect the privacy of personally identifiable information contained in the data that constitutes part of its information resources; ensure compliance with applicable policies and state and federal laws regarding the management and security of information resources; and educate individual Users with respect to the responsibilities associated with use of the university's information resources.</w:t>
      </w:r>
      <w:r w:rsidRPr="002E6533">
        <w:br/>
      </w:r>
      <w:r w:rsidRPr="002E6533">
        <w:br/>
        <w:t>This Policy serves as the foundation for the university's information security program, and provides the Information Security Office the authority to implement policies, practice standards, and/or procedures necessary to implement a successful information security program in</w:t>
      </w:r>
      <w:r w:rsidRPr="002E6533">
        <w:rPr>
          <w:rFonts w:eastAsia="Times New Roman" w:cstheme="minorBidi"/>
          <w:b/>
          <w:spacing w:val="-1"/>
          <w:sz w:val="22"/>
          <w:szCs w:val="22"/>
        </w:rPr>
        <w:t xml:space="preserve"> compliance with this Policy.</w:t>
      </w:r>
    </w:p>
    <w:p w14:paraId="13B4F953" w14:textId="6408C69E" w:rsidR="0030535A" w:rsidRDefault="00845AA3" w:rsidP="0030535A">
      <w:pPr>
        <w:pStyle w:val="Heading1"/>
      </w:pPr>
      <w:r w:rsidRPr="00B40C12">
        <w:t>Roles and Responsibilities</w:t>
      </w:r>
    </w:p>
    <w:p w14:paraId="0E6FFB9B" w14:textId="77777777" w:rsidR="0030535A" w:rsidRDefault="0030535A" w:rsidP="0030535A">
      <w:r>
        <w:t>UT Austin Information Security Management</w:t>
      </w:r>
    </w:p>
    <w:p w14:paraId="791428EB" w14:textId="77777777" w:rsidR="0030535A" w:rsidRDefault="0030535A" w:rsidP="0030535A">
      <w:r>
        <w:t>The UT Austin Information Security Office (ISO) is responsible for providing cybersecurity management for the Geotechnical Engineering Center (GEC) at UT Austin.</w:t>
      </w:r>
    </w:p>
    <w:p w14:paraId="1572C7BE" w14:textId="77777777" w:rsidR="0030535A" w:rsidRDefault="0030535A" w:rsidP="0030535A"/>
    <w:p w14:paraId="6F658DFA" w14:textId="77777777" w:rsidR="0030535A" w:rsidRDefault="0030535A" w:rsidP="0030535A">
      <w:r>
        <w:t>Cam Beasley, ISO Chief Information Security Officer, is the primary person responsible for information security.</w:t>
      </w:r>
    </w:p>
    <w:p w14:paraId="26049460" w14:textId="77777777" w:rsidR="0030535A" w:rsidRDefault="0030535A" w:rsidP="0030535A"/>
    <w:p w14:paraId="18BCF7BA" w14:textId="77777777" w:rsidR="0030535A" w:rsidRDefault="0030535A" w:rsidP="0030535A">
      <w:r>
        <w:t>Email: cam@utexas.edu</w:t>
      </w:r>
    </w:p>
    <w:p w14:paraId="24784DAC" w14:textId="77777777" w:rsidR="0030535A" w:rsidRDefault="0030535A" w:rsidP="0030535A"/>
    <w:p w14:paraId="364894AE" w14:textId="77777777" w:rsidR="0030535A" w:rsidRDefault="0030535A" w:rsidP="0030535A">
      <w:r>
        <w:t>Charlie Scott, ISO Assistant Information Security Officer, heads the campus Risk Management Team.</w:t>
      </w:r>
    </w:p>
    <w:p w14:paraId="197C9ED8" w14:textId="77777777" w:rsidR="0030535A" w:rsidRDefault="0030535A" w:rsidP="0030535A"/>
    <w:p w14:paraId="5CE690D2" w14:textId="77777777" w:rsidR="0030535A" w:rsidRDefault="0030535A" w:rsidP="0030535A">
      <w:r>
        <w:t>Email: cscott@utexas.edu</w:t>
      </w:r>
    </w:p>
    <w:p w14:paraId="144EA5A7" w14:textId="77777777" w:rsidR="0030535A" w:rsidRDefault="0030535A" w:rsidP="0030535A"/>
    <w:p w14:paraId="2835B795" w14:textId="77777777" w:rsidR="0030535A" w:rsidRDefault="0030535A" w:rsidP="0030535A">
      <w:r>
        <w:t>Kelly Kerby, ISO Senior Network Security Analyst, heads the campus Incident Response Team.</w:t>
      </w:r>
    </w:p>
    <w:p w14:paraId="2FD0A6A5" w14:textId="77777777" w:rsidR="0030535A" w:rsidRDefault="0030535A" w:rsidP="0030535A">
      <w:r>
        <w:t>Email: k.kerby@its.utexas.edu</w:t>
      </w:r>
    </w:p>
    <w:p w14:paraId="7295E7C6" w14:textId="77777777" w:rsidR="0030535A" w:rsidRDefault="0030535A" w:rsidP="0030535A"/>
    <w:p w14:paraId="7BE97CFB" w14:textId="77777777" w:rsidR="0030535A" w:rsidRDefault="0030535A" w:rsidP="0030535A">
      <w:r>
        <w:t xml:space="preserve">The UT Information Technology Support and Services (ITSS) is responsible for on-site maintenance of GEC IT infrastructure. </w:t>
      </w:r>
    </w:p>
    <w:p w14:paraId="476C924F" w14:textId="77777777" w:rsidR="0030535A" w:rsidRDefault="0030535A" w:rsidP="0030535A"/>
    <w:p w14:paraId="2B35B48C" w14:textId="77777777" w:rsidR="0030535A" w:rsidRDefault="0030535A" w:rsidP="0030535A">
      <w:r>
        <w:t>Danny Quiroz, ITSS Senior IT Manager, is responsible for on-site incident response at GEC.</w:t>
      </w:r>
    </w:p>
    <w:p w14:paraId="465C1C27" w14:textId="77777777" w:rsidR="0030535A" w:rsidRDefault="0030535A" w:rsidP="0030535A">
      <w:r>
        <w:t>Email: quiroz@mail.utexas.edu</w:t>
      </w:r>
    </w:p>
    <w:p w14:paraId="20CDB39B" w14:textId="77777777" w:rsidR="0030535A" w:rsidRPr="00B40C12" w:rsidRDefault="0030535A" w:rsidP="001A3C76">
      <w:pPr>
        <w:pStyle w:val="BodyText"/>
        <w:tabs>
          <w:tab w:val="left" w:pos="860"/>
        </w:tabs>
        <w:spacing w:before="37"/>
        <w:ind w:right="136"/>
      </w:pPr>
    </w:p>
    <w:p w14:paraId="49132E27" w14:textId="4B3D084B" w:rsidR="00845AA3" w:rsidRPr="00B40C12" w:rsidRDefault="00132299" w:rsidP="00132299">
      <w:pPr>
        <w:pStyle w:val="Heading2"/>
      </w:pPr>
      <w:r>
        <w:t xml:space="preserve">Site Management Team </w:t>
      </w:r>
    </w:p>
    <w:p w14:paraId="5E1C05C0" w14:textId="4B990764" w:rsidR="00132299" w:rsidRDefault="00132299" w:rsidP="001A3C76">
      <w:pPr>
        <w:pStyle w:val="BodyText"/>
        <w:tabs>
          <w:tab w:val="left" w:pos="860"/>
        </w:tabs>
        <w:spacing w:before="37"/>
        <w:ind w:right="136"/>
      </w:pPr>
      <w:r>
        <w:t>Overall</w:t>
      </w:r>
      <w:r w:rsidR="00845AA3" w:rsidRPr="00B40C12">
        <w:t xml:space="preserve"> responsibility for the </w:t>
      </w:r>
      <w:r>
        <w:t>security of the facility lies</w:t>
      </w:r>
      <w:r w:rsidR="00845AA3" w:rsidRPr="00B40C12">
        <w:t xml:space="preserve"> with the management team comprised of</w:t>
      </w:r>
      <w:r w:rsidR="0030535A">
        <w:t xml:space="preserve"> Cam Beasley, Charlie Scott, Kelly Kerby, Danny Quiroz.</w:t>
      </w:r>
      <w:r>
        <w:t xml:space="preserve"> </w:t>
      </w:r>
      <w:r w:rsidR="00845AA3" w:rsidRPr="00B40C12">
        <w:t xml:space="preserve"> This management team will be assisted by the DesignSafe CSO in the matter of the cybersecurity program and its overall goals, objectives, and priorities in order to support the overall mission of </w:t>
      </w:r>
      <w:r w:rsidR="00E05F74">
        <w:t>NHERI</w:t>
      </w:r>
      <w:r w:rsidR="00845AA3" w:rsidRPr="00B40C12">
        <w:t xml:space="preserve">. </w:t>
      </w:r>
    </w:p>
    <w:p w14:paraId="741591EE" w14:textId="35218D08" w:rsidR="00132299" w:rsidRPr="00B40C12" w:rsidRDefault="00132299" w:rsidP="00132299">
      <w:pPr>
        <w:pStyle w:val="Heading2"/>
      </w:pPr>
      <w:r>
        <w:t xml:space="preserve">Site Security Contact </w:t>
      </w:r>
    </w:p>
    <w:p w14:paraId="1345DB05" w14:textId="22823499" w:rsidR="00845AA3" w:rsidRPr="00B40C12" w:rsidRDefault="00132299" w:rsidP="00845AA3">
      <w:pPr>
        <w:pStyle w:val="BodyText"/>
        <w:tabs>
          <w:tab w:val="left" w:pos="860"/>
        </w:tabs>
        <w:spacing w:before="37"/>
        <w:ind w:right="136"/>
      </w:pPr>
      <w:r>
        <w:t xml:space="preserve">The site security contact, </w:t>
      </w:r>
      <w:r w:rsidR="0030535A">
        <w:t xml:space="preserve">Cam Beasley </w:t>
      </w:r>
      <w:r>
        <w:t xml:space="preserve">is responsible for day-to-day management of cybersecurity at each site.  The contact will also serve as the liaison between the site and the DesignSafe Chief Security Officer. </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TACC’s Information Security Officer, directs DesignSafe’s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6242E6AC"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r w:rsidRPr="00B40C12">
        <w:t xml:space="preserve">the 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r>
        <w:t>DesignSafe’s</w:t>
      </w:r>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r>
        <w:t>DesignSafe</w:t>
      </w:r>
      <w:r w:rsidRPr="00845CE9">
        <w:t>’s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r>
        <w:t>DesignSafe</w:t>
      </w:r>
      <w:r w:rsidRPr="00845CE9">
        <w:t xml:space="preserve">’s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r w:rsidRPr="00B40C12">
        <w:t xml:space="preserve">DesignSafe’s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year, and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t>Technical Safeguards</w:t>
      </w:r>
    </w:p>
    <w:p w14:paraId="33F981FC" w14:textId="77777777" w:rsidR="00845AA3" w:rsidRPr="00B40C12" w:rsidRDefault="00845AA3" w:rsidP="00C15E98">
      <w:pPr>
        <w:pStyle w:val="Heading2"/>
      </w:pPr>
      <w:r w:rsidRPr="00B40C12">
        <w:t xml:space="preserve">Proactive Security Monitoring and Detection </w:t>
      </w:r>
    </w:p>
    <w:p w14:paraId="7222177E" w14:textId="77777777" w:rsidR="00094779" w:rsidRPr="00597421" w:rsidRDefault="00094779" w:rsidP="00094779">
      <w:pPr>
        <w:pStyle w:val="BodyText"/>
        <w:tabs>
          <w:tab w:val="left" w:pos="860"/>
        </w:tabs>
        <w:spacing w:before="37"/>
        <w:ind w:right="136"/>
      </w:pPr>
      <w:r w:rsidRPr="00597421">
        <w:t>A System Security Assessment analyzes the security of a specific system or group of systems. ISO will look for both local and remotely exploitable vulnerabilities by analyzing access controls, patch levels and system configurations. Collections of commercial and open-source scanning tools are used for this type of assessment. System credentials may be requested to conduct a more comprehensive review of a particular system. Additional hands-on inspection may also be necessary.</w:t>
      </w:r>
    </w:p>
    <w:p w14:paraId="77351536" w14:textId="77777777" w:rsidR="00845AA3" w:rsidRPr="00B40C12" w:rsidRDefault="00845AA3" w:rsidP="00845AA3">
      <w:pPr>
        <w:pStyle w:val="BodyText"/>
        <w:tabs>
          <w:tab w:val="left" w:pos="860"/>
        </w:tabs>
        <w:spacing w:before="37"/>
        <w:ind w:right="136"/>
      </w:pPr>
    </w:p>
    <w:p w14:paraId="4A7BA0D8" w14:textId="77777777" w:rsidR="00845AA3" w:rsidRPr="00845CE9" w:rsidRDefault="00845AA3" w:rsidP="00C15E98">
      <w:pPr>
        <w:pStyle w:val="Heading2"/>
      </w:pPr>
      <w:r>
        <w:t>Vulnerability</w:t>
      </w:r>
      <w:r w:rsidRPr="00845CE9">
        <w:t xml:space="preserve"> </w:t>
      </w:r>
      <w:r>
        <w:t>Scanning</w:t>
      </w:r>
    </w:p>
    <w:p w14:paraId="1DAE39F9" w14:textId="77777777" w:rsidR="0030535A" w:rsidRDefault="0030535A" w:rsidP="0030535A">
      <w:pPr>
        <w:pStyle w:val="BodyText"/>
        <w:tabs>
          <w:tab w:val="left" w:pos="860"/>
        </w:tabs>
        <w:spacing w:before="37"/>
        <w:ind w:right="136"/>
      </w:pPr>
      <w:r w:rsidRPr="0030535A">
        <w:br/>
        <w:t xml:space="preserve">An Application Security Assessment evaluates the functionality and resilience of an application to known security threats including, but not limited to: buffer overflows, cross site scripting, cross site request forgery, improper data sanitization, injection attacks and weak authentication. This assessment analyzes all components of an application infrastructure including how each component is deployed and how each component communicates with both the client and server environments. A collection of </w:t>
      </w:r>
      <w:r w:rsidRPr="0030535A">
        <w:lastRenderedPageBreak/>
        <w:t>commercial and open-source tools is combined with manual testing to perform this assessment. Application credentials may be requested to conduct a more comprehensive review of a particular application. Typically, some host and network security practices are reviewed as part of an Application Vulnerability Assessment.</w:t>
      </w:r>
    </w:p>
    <w:p w14:paraId="74EA1462" w14:textId="77777777" w:rsidR="00597421" w:rsidRDefault="00597421" w:rsidP="0030535A">
      <w:pPr>
        <w:pStyle w:val="BodyText"/>
        <w:tabs>
          <w:tab w:val="left" w:pos="860"/>
        </w:tabs>
        <w:spacing w:before="37"/>
        <w:ind w:right="136"/>
      </w:pPr>
    </w:p>
    <w:p w14:paraId="2F237C20" w14:textId="77777777" w:rsidR="00597421" w:rsidRDefault="00597421" w:rsidP="00597421">
      <w:pPr>
        <w:pStyle w:val="BodyText"/>
        <w:tabs>
          <w:tab w:val="left" w:pos="860"/>
        </w:tabs>
        <w:spacing w:before="37"/>
        <w:ind w:right="136"/>
      </w:pPr>
      <w:r w:rsidRPr="00597421">
        <w:t>A Network Vulnerability Assessment evaluates a system for vulnerabilities that may be exploited via a network. These vulnerabilities may include such things as missing patches, unnecessary services, weak authentication and weak encryption. This type of assessment may include components of an Application Vulnerability Assessment and a System Security Assessment. Credentials may be requested to conduct a more comprehensive review of a particular system(s). A Network Vulnerability Assessment will help determine how vulnerable a system(s) is to Internet and intranet attacks and whether current operational controls are effective.</w:t>
      </w:r>
    </w:p>
    <w:p w14:paraId="57A5F3AA" w14:textId="77777777" w:rsidR="003D6E00" w:rsidRDefault="003D6E00" w:rsidP="00597421">
      <w:pPr>
        <w:pStyle w:val="BodyText"/>
        <w:tabs>
          <w:tab w:val="left" w:pos="860"/>
        </w:tabs>
        <w:spacing w:before="37"/>
        <w:ind w:left="0" w:right="136"/>
      </w:pP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0A1BB8D2" w:rsidR="0017497D" w:rsidRPr="0017497D" w:rsidRDefault="0017497D" w:rsidP="009D79E6">
      <w:pPr>
        <w:pStyle w:val="BodyText"/>
        <w:numPr>
          <w:ilvl w:val="0"/>
          <w:numId w:val="7"/>
        </w:numPr>
        <w:ind w:left="360"/>
      </w:pPr>
      <w:r>
        <w:t xml:space="preserve">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w:t>
      </w:r>
      <w:r w:rsidR="00597421">
        <w:t>patch before</w:t>
      </w:r>
      <w:r>
        <w:t xml:space="preserv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2AC2D9F" w:rsidR="009D79E6" w:rsidRDefault="009D79E6" w:rsidP="009D79E6">
      <w:pPr>
        <w:pStyle w:val="BodyText"/>
        <w:numPr>
          <w:ilvl w:val="0"/>
          <w:numId w:val="10"/>
        </w:numPr>
      </w:pPr>
      <w:r>
        <w:t xml:space="preserve">Operating system and application services security patches should be installed expediently </w:t>
      </w:r>
      <w:r w:rsidR="00597421">
        <w:t>and, in a manner,</w:t>
      </w:r>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lastRenderedPageBreak/>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16366B44" w14:textId="77777777" w:rsidR="002E6533" w:rsidRDefault="002E6533" w:rsidP="002E6533">
      <w:pPr>
        <w:pStyle w:val="Heading2"/>
        <w:numPr>
          <w:ilvl w:val="0"/>
          <w:numId w:val="0"/>
        </w:numPr>
        <w:jc w:val="left"/>
        <w:rPr>
          <w:rFonts w:eastAsia="Times New Roman" w:cstheme="minorBidi"/>
          <w:b w:val="0"/>
          <w:i w:val="0"/>
          <w:sz w:val="22"/>
          <w:szCs w:val="22"/>
        </w:rPr>
      </w:pPr>
      <w:r w:rsidRPr="002E6533">
        <w:rPr>
          <w:rFonts w:eastAsia="Times New Roman" w:cstheme="minorBidi"/>
          <w:b w:val="0"/>
          <w:i w:val="0"/>
          <w:sz w:val="22"/>
          <w:szCs w:val="22"/>
        </w:rPr>
        <w:t>Users must be made aware of the privileges granted to their administrative accounts, especially those that impact access to information resources or that allow them to circumvent controls in order to administer the information resource. Abuse of such privileges will not be tolerated. Anyone using accounts with elevated access privileges of this type must adhere to the following access requirements.</w:t>
      </w:r>
      <w:bookmarkStart w:id="2" w:name="standard5.1"/>
    </w:p>
    <w:p w14:paraId="7B78F8B0" w14:textId="40BDCB59" w:rsidR="002E6533" w:rsidRPr="002E6533" w:rsidRDefault="002E6533" w:rsidP="002E6533">
      <w:pPr>
        <w:pStyle w:val="Heading2"/>
        <w:numPr>
          <w:ilvl w:val="0"/>
          <w:numId w:val="0"/>
        </w:numPr>
        <w:jc w:val="left"/>
        <w:rPr>
          <w:rFonts w:eastAsia="Times New Roman" w:cstheme="minorBidi"/>
          <w:b w:val="0"/>
          <w:i w:val="0"/>
          <w:sz w:val="22"/>
          <w:szCs w:val="22"/>
        </w:rPr>
      </w:pPr>
      <w:r w:rsidRPr="002E6533">
        <w:rPr>
          <w:rFonts w:eastAsia="Times New Roman" w:cstheme="minorBidi"/>
          <w:b w:val="0"/>
          <w:i w:val="0"/>
          <w:sz w:val="22"/>
          <w:szCs w:val="22"/>
        </w:rPr>
        <w:t> </w:t>
      </w:r>
      <w:bookmarkEnd w:id="2"/>
      <w:r w:rsidRPr="002E6533">
        <w:rPr>
          <w:rFonts w:eastAsia="Times New Roman" w:cstheme="minorBidi"/>
          <w:b w:val="0"/>
          <w:i w:val="0"/>
          <w:sz w:val="22"/>
          <w:szCs w:val="22"/>
        </w:rPr>
        <w:t>All IT System Custodians will be granted administrative access to the university-owned IT devices (e.g., laptops, desktops, tablets, servers) deployed in their respective college, school, or unit. Individuals who use accounts with special privileges (for example, System Administrators) must only use these accounts for their intended administrative purposes.</w:t>
      </w:r>
    </w:p>
    <w:p w14:paraId="6AE97A63" w14:textId="7403DC78" w:rsidR="002E6533" w:rsidRPr="002E6533" w:rsidRDefault="002E6533" w:rsidP="002E6533">
      <w:pPr>
        <w:pStyle w:val="Heading2"/>
        <w:numPr>
          <w:ilvl w:val="0"/>
          <w:numId w:val="0"/>
        </w:numPr>
        <w:jc w:val="left"/>
        <w:rPr>
          <w:rFonts w:eastAsia="Times New Roman" w:cstheme="minorBidi"/>
          <w:b w:val="0"/>
          <w:i w:val="0"/>
          <w:sz w:val="22"/>
          <w:szCs w:val="22"/>
        </w:rPr>
      </w:pPr>
      <w:r w:rsidRPr="002E6533">
        <w:rPr>
          <w:rFonts w:eastAsia="Times New Roman" w:cstheme="minorBidi"/>
          <w:b w:val="0"/>
          <w:i w:val="0"/>
          <w:sz w:val="22"/>
          <w:szCs w:val="22"/>
        </w:rPr>
        <w:t>All access via administrative accounts must be logged to system management services in place centrally or within the respective college, school, or unit to ensure proper accountability and transparency. These logs should be retained, according to U. T. Austin retention schedules, and routinely audited.</w:t>
      </w:r>
    </w:p>
    <w:p w14:paraId="4BBFC0F9" w14:textId="5C61B6B1" w:rsidR="002E6533" w:rsidRPr="002E6533" w:rsidRDefault="002E6533" w:rsidP="002E6533">
      <w:pPr>
        <w:pStyle w:val="Heading2"/>
        <w:numPr>
          <w:ilvl w:val="0"/>
          <w:numId w:val="0"/>
        </w:numPr>
        <w:jc w:val="left"/>
        <w:rPr>
          <w:rFonts w:eastAsia="Times New Roman" w:cstheme="minorBidi"/>
          <w:b w:val="0"/>
          <w:i w:val="0"/>
          <w:sz w:val="22"/>
          <w:szCs w:val="22"/>
        </w:rPr>
      </w:pPr>
      <w:r w:rsidRPr="002E6533">
        <w:rPr>
          <w:rFonts w:eastAsia="Times New Roman" w:cstheme="minorBidi"/>
          <w:b w:val="0"/>
          <w:i w:val="0"/>
          <w:sz w:val="22"/>
          <w:szCs w:val="22"/>
        </w:rPr>
        <w:t>Individuals who use administrative accounts may not </w:t>
      </w:r>
      <w:hyperlink r:id="rId7" w:history="1">
        <w:r w:rsidRPr="002E6533">
          <w:rPr>
            <w:rStyle w:val="Hyperlink"/>
            <w:rFonts w:eastAsia="Times New Roman" w:cstheme="minorBidi"/>
            <w:b w:val="0"/>
            <w:i w:val="0"/>
            <w:sz w:val="22"/>
            <w:szCs w:val="22"/>
          </w:rPr>
          <w:t>perform investigations</w:t>
        </w:r>
      </w:hyperlink>
      <w:r w:rsidRPr="002E6533">
        <w:rPr>
          <w:rFonts w:eastAsia="Times New Roman" w:cstheme="minorBidi"/>
          <w:b w:val="0"/>
          <w:i w:val="0"/>
          <w:sz w:val="22"/>
          <w:szCs w:val="22"/>
        </w:rPr>
        <w:t> relating to the potential misuse of information resources by an individual user except under the direction of the Information Security Office or the Office of Legal Affairs. All colleges, schools, and units of the university must maintain an updated list of IT Support Staff in the university </w:t>
      </w:r>
      <w:hyperlink r:id="rId8" w:history="1">
        <w:r w:rsidRPr="002E6533">
          <w:rPr>
            <w:rStyle w:val="Hyperlink"/>
            <w:rFonts w:eastAsia="Times New Roman" w:cstheme="minorBidi"/>
            <w:b w:val="0"/>
            <w:i w:val="0"/>
            <w:sz w:val="22"/>
            <w:szCs w:val="22"/>
          </w:rPr>
          <w:t>Department System</w:t>
        </w:r>
      </w:hyperlink>
      <w:r w:rsidRPr="002E6533">
        <w:rPr>
          <w:rFonts w:eastAsia="Times New Roman" w:cstheme="minorBidi"/>
          <w:b w:val="0"/>
          <w:i w:val="0"/>
          <w:sz w:val="22"/>
          <w:szCs w:val="22"/>
        </w:rPr>
        <w:t>. All U. T. Austin employees must complete a </w:t>
      </w:r>
      <w:hyperlink r:id="rId9" w:history="1">
        <w:r w:rsidRPr="002E6533">
          <w:rPr>
            <w:rStyle w:val="Hyperlink"/>
            <w:rFonts w:eastAsia="Times New Roman" w:cstheme="minorBidi"/>
            <w:b w:val="0"/>
            <w:i w:val="0"/>
            <w:sz w:val="22"/>
            <w:szCs w:val="22"/>
          </w:rPr>
          <w:t>Background Check for Staff/Faculty</w:t>
        </w:r>
      </w:hyperlink>
      <w:r w:rsidRPr="002E6533">
        <w:rPr>
          <w:rFonts w:eastAsia="Times New Roman" w:cstheme="minorBidi"/>
          <w:b w:val="0"/>
          <w:i w:val="0"/>
          <w:sz w:val="22"/>
          <w:szCs w:val="22"/>
        </w:rPr>
        <w:t> and must acknowledge their responsibilities by annually completing the </w:t>
      </w:r>
      <w:hyperlink r:id="rId10" w:history="1">
        <w:r w:rsidRPr="002E6533">
          <w:rPr>
            <w:rStyle w:val="Hyperlink"/>
            <w:rFonts w:eastAsia="Times New Roman" w:cstheme="minorBidi"/>
            <w:b w:val="0"/>
            <w:i w:val="0"/>
            <w:sz w:val="22"/>
            <w:szCs w:val="22"/>
          </w:rPr>
          <w:t>Acceptable Use Acknowledgement form</w:t>
        </w:r>
      </w:hyperlink>
      <w:r w:rsidRPr="002E6533">
        <w:rPr>
          <w:rFonts w:eastAsia="Times New Roman" w:cstheme="minorBidi"/>
          <w:b w:val="0"/>
          <w:i w:val="0"/>
          <w:sz w:val="22"/>
          <w:szCs w:val="22"/>
        </w:rPr>
        <w:t>. The password for a shared administrative account must change when any individual knowing the password leaves the department or university or changes role; or upon a change in the vendor personnel assigned to university contracts having password access. For all systems serving out Information Resources there must be a password escrow procedure in place to enable someone other than the administrator to gain access to the system in an emergency situation (e.g., via </w:t>
      </w:r>
      <w:hyperlink r:id="rId11" w:history="1">
        <w:r w:rsidRPr="002E6533">
          <w:rPr>
            <w:rStyle w:val="Hyperlink"/>
            <w:rFonts w:eastAsia="Times New Roman" w:cstheme="minorBidi"/>
            <w:b w:val="0"/>
            <w:i w:val="0"/>
            <w:sz w:val="22"/>
            <w:szCs w:val="22"/>
          </w:rPr>
          <w:t>Stache</w:t>
        </w:r>
      </w:hyperlink>
      <w:r w:rsidRPr="002E6533">
        <w:rPr>
          <w:rFonts w:eastAsia="Times New Roman" w:cstheme="minorBidi"/>
          <w:b w:val="0"/>
          <w:i w:val="0"/>
          <w:sz w:val="22"/>
          <w:szCs w:val="22"/>
          <w:u w:val="single"/>
        </w:rPr>
        <w:t>)</w:t>
      </w:r>
      <w:r w:rsidRPr="002E6533">
        <w:rPr>
          <w:rFonts w:eastAsia="Times New Roman" w:cstheme="minorBidi"/>
          <w:b w:val="0"/>
          <w:i w:val="0"/>
          <w:sz w:val="22"/>
          <w:szCs w:val="22"/>
        </w:rPr>
        <w:t>. When access to a university-owned IT device's administrative account is required by someone other than an IT Support Staff member, the following exception criteria must apply: Individuals must annually complete the </w:t>
      </w:r>
      <w:hyperlink r:id="rId12" w:history="1">
        <w:r w:rsidRPr="002E6533">
          <w:rPr>
            <w:rStyle w:val="Hyperlink"/>
            <w:rFonts w:eastAsia="Times New Roman" w:cstheme="minorBidi"/>
            <w:b w:val="0"/>
            <w:i w:val="0"/>
            <w:sz w:val="22"/>
            <w:szCs w:val="22"/>
          </w:rPr>
          <w:t>Acceptable Use Acknowledgement form</w:t>
        </w:r>
      </w:hyperlink>
      <w:r w:rsidRPr="002E6533">
        <w:rPr>
          <w:rFonts w:eastAsia="Times New Roman" w:cstheme="minorBidi"/>
          <w:b w:val="0"/>
          <w:i w:val="0"/>
          <w:sz w:val="22"/>
          <w:szCs w:val="22"/>
        </w:rPr>
        <w:t xml:space="preserve">;  Individuals must only use the administrative account for special administrative functions and default to a lower privileged user account for other day-to-day </w:t>
      </w:r>
      <w:r w:rsidRPr="002E6533">
        <w:rPr>
          <w:rFonts w:eastAsia="Times New Roman" w:cstheme="minorBidi"/>
          <w:b w:val="0"/>
          <w:i w:val="0"/>
          <w:sz w:val="22"/>
          <w:szCs w:val="22"/>
        </w:rPr>
        <w:lastRenderedPageBreak/>
        <w:t>use; Individuals must review training to inform them how they can limit use of their administrative access and still accomplish their primary day-to-day functions (example: </w:t>
      </w:r>
      <w:hyperlink r:id="rId13" w:history="1">
        <w:r w:rsidRPr="002E6533">
          <w:rPr>
            <w:rStyle w:val="Hyperlink"/>
            <w:rFonts w:eastAsia="Times New Roman" w:cstheme="minorBidi"/>
            <w:b w:val="0"/>
            <w:i w:val="0"/>
            <w:sz w:val="22"/>
            <w:szCs w:val="22"/>
          </w:rPr>
          <w:t>How not to Login as Administrator (and still get your job done)</w:t>
        </w:r>
      </w:hyperlink>
      <w:r w:rsidRPr="002E6533">
        <w:rPr>
          <w:rFonts w:eastAsia="Times New Roman" w:cstheme="minorBidi"/>
          <w:b w:val="0"/>
          <w:i w:val="0"/>
          <w:sz w:val="22"/>
          <w:szCs w:val="22"/>
        </w:rPr>
        <w:t>; </w:t>
      </w:r>
      <w:bookmarkStart w:id="3" w:name="standard5.8.4"/>
      <w:r w:rsidRPr="002E6533">
        <w:rPr>
          <w:rFonts w:eastAsia="Times New Roman" w:cstheme="minorBidi"/>
          <w:b w:val="0"/>
          <w:i w:val="0"/>
          <w:sz w:val="22"/>
          <w:szCs w:val="22"/>
        </w:rPr>
        <w:t> </w:t>
      </w:r>
      <w:bookmarkEnd w:id="3"/>
      <w:r w:rsidRPr="002E6533">
        <w:rPr>
          <w:rFonts w:eastAsia="Times New Roman" w:cstheme="minorBidi"/>
          <w:b w:val="0"/>
          <w:i w:val="0"/>
          <w:sz w:val="22"/>
          <w:szCs w:val="22"/>
        </w:rPr>
        <w:t>IT System Custodians are required to periodically review the use of administrative account exceptions. IT System Custodians will remove any administrative accounts that go unused or are no longer required; and IT System Custodians are required to raise inappropriate use to management (e.g., staying logged in with the administrative account longer than needed). </w:t>
      </w:r>
    </w:p>
    <w:p w14:paraId="6F292C6D" w14:textId="0D40B12D" w:rsidR="00E05F74" w:rsidRPr="00E05F74" w:rsidRDefault="00845AA3" w:rsidP="00E05F74">
      <w:pPr>
        <w:pStyle w:val="Heading2"/>
      </w:pPr>
      <w:r>
        <w:t>User Credentials</w:t>
      </w:r>
      <w:r w:rsidRPr="00B40C12">
        <w:t xml:space="preserve"> </w:t>
      </w:r>
    </w:p>
    <w:p w14:paraId="1055C0F9" w14:textId="7EF650C7" w:rsidR="00845AA3" w:rsidRPr="00B40C12" w:rsidRDefault="00845AA3" w:rsidP="00845AA3">
      <w:pPr>
        <w:pStyle w:val="Proposal-Text"/>
      </w:pPr>
      <w:r w:rsidRPr="00B40C12">
        <w:t xml:space="preserve">DesignSafe will initially use single-factor authentication via a user password. Multi-factor authentication is </w:t>
      </w:r>
      <w:r w:rsidR="00E05F74">
        <w:t>available in</w:t>
      </w:r>
      <w:r w:rsidRPr="00B40C12">
        <w:t xml:space="preserve"> TACC’s authentication infrastructure, and if deemed necessary will be applied to the DesignSafe CI. For multi-factor authentication, users would have a password and in addition a second mechanism of a short-lived access code provided by a fob or via mobile device app. The use of group accounts for administrative purposes and shared passwords for those accounts will be minimized where technically feasible. DesignSafe staff requiring privileged user access will be using RSASecur</w:t>
      </w:r>
      <w:r w:rsidR="00597421">
        <w:t>e</w:t>
      </w:r>
      <w:r w:rsidRPr="00B40C12">
        <w:t>ID fobs for controlling root access to resources.</w:t>
      </w:r>
    </w:p>
    <w:p w14:paraId="44D8D504" w14:textId="77777777" w:rsidR="00845AA3" w:rsidRDefault="00845AA3" w:rsidP="00E8419A">
      <w:pPr>
        <w:pStyle w:val="BodyText"/>
        <w:tabs>
          <w:tab w:val="left" w:pos="860"/>
        </w:tabs>
        <w:spacing w:before="37"/>
        <w:ind w:left="0" w:right="136"/>
      </w:pPr>
    </w:p>
    <w:p w14:paraId="4D70DC02" w14:textId="758D6D24" w:rsidR="00845AA3" w:rsidRPr="00B40C12" w:rsidRDefault="00845AA3" w:rsidP="00845AA3">
      <w:pPr>
        <w:pStyle w:val="Proposal-Text"/>
      </w:pPr>
      <w:r w:rsidRPr="00B40C12">
        <w:t xml:space="preserve">Credentials may be used only by the authorized user. Passwords or accounts should never be shared with anyone. Account owners will be held responsible for any actions performed using their accounts. DesignSafe staff will never ask users to disclose their passwords in any manner. Passwords should never be written down and left in plain </w:t>
      </w:r>
      <w:r w:rsidR="00597421" w:rsidRPr="00B40C12">
        <w:t>sight or</w:t>
      </w:r>
      <w:r w:rsidRPr="00B40C12">
        <w:t xml:space="preserve"> stored in plain text online.</w:t>
      </w: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t>Inactive</w:t>
      </w:r>
      <w:r w:rsidRPr="00B40C12">
        <w:t xml:space="preserve"> </w:t>
      </w:r>
      <w:r>
        <w:t>Account Expiration</w:t>
      </w:r>
    </w:p>
    <w:p w14:paraId="50C13DF3" w14:textId="34472923" w:rsidR="00845AA3" w:rsidRDefault="00E05F74" w:rsidP="00845AA3">
      <w:pPr>
        <w:pStyle w:val="BodyText"/>
        <w:tabs>
          <w:tab w:val="left" w:pos="860"/>
        </w:tabs>
        <w:spacing w:before="37"/>
        <w:ind w:right="136"/>
      </w:pPr>
      <w:r>
        <w:t>A</w:t>
      </w:r>
      <w:r w:rsidR="00845AA3" w:rsidRPr="00B40C12">
        <w:t>ccounts that are inactive for 120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3CB42307" w14:textId="77777777" w:rsidR="00597421" w:rsidRPr="00597421" w:rsidRDefault="00597421" w:rsidP="002E6533">
      <w:pPr>
        <w:rPr>
          <w:rFonts w:eastAsia="Times New Roman" w:cstheme="minorBidi"/>
          <w:sz w:val="22"/>
          <w:szCs w:val="22"/>
        </w:rPr>
      </w:pPr>
      <w:r w:rsidRPr="00597421">
        <w:rPr>
          <w:rFonts w:eastAsia="Times New Roman" w:cstheme="minorBidi"/>
          <w:sz w:val="22"/>
          <w:szCs w:val="22"/>
        </w:rPr>
        <w:t>A Physical Security Assessment typically involves interviews with key staff, review of existing documentation and a visit to the site to evaluate physical and environmental controls. This type of assessment will help determine whether systems are susceptible to physical attacks and whether environmental controls are adequate.</w:t>
      </w:r>
    </w:p>
    <w:p w14:paraId="059304D9" w14:textId="77777777" w:rsidR="00845AA3" w:rsidRDefault="00845AA3" w:rsidP="00845AA3">
      <w:pPr>
        <w:pStyle w:val="Default"/>
        <w:ind w:left="720"/>
        <w:rPr>
          <w:sz w:val="22"/>
          <w:szCs w:val="22"/>
        </w:rPr>
      </w:pPr>
    </w:p>
    <w:p w14:paraId="742DAA22" w14:textId="77777777" w:rsidR="00845AA3" w:rsidRPr="00377C0E" w:rsidRDefault="00845AA3" w:rsidP="00845AA3">
      <w:pPr>
        <w:pStyle w:val="Default"/>
        <w:ind w:left="720"/>
        <w:rPr>
          <w:sz w:val="22"/>
          <w:szCs w:val="22"/>
        </w:rPr>
      </w:pPr>
    </w:p>
    <w:p w14:paraId="16E4C820" w14:textId="77777777" w:rsidR="00845AA3" w:rsidRPr="0003187A" w:rsidRDefault="00845AA3" w:rsidP="00C15E98">
      <w:pPr>
        <w:pStyle w:val="Heading2"/>
      </w:pPr>
      <w:r>
        <w:t xml:space="preserve">Access Control for Transmission Medium </w:t>
      </w:r>
    </w:p>
    <w:p w14:paraId="61DE2B25" w14:textId="77777777" w:rsidR="00845AA3" w:rsidRPr="00597421" w:rsidRDefault="00845AA3" w:rsidP="002E6533">
      <w:pPr>
        <w:rPr>
          <w:rFonts w:eastAsia="Times New Roman" w:cstheme="minorBidi"/>
          <w:sz w:val="22"/>
          <w:szCs w:val="22"/>
        </w:rPr>
      </w:pPr>
      <w:r w:rsidRPr="00597421">
        <w:rPr>
          <w:rFonts w:eastAsia="Times New Roman" w:cstheme="minorBidi"/>
          <w:sz w:val="22"/>
          <w:szCs w:val="22"/>
        </w:rPr>
        <w:t xml:space="preserve">Adequate physical protection is in place for wiring closets and communication demark areas to prevent accidental damage, disruption, or intentional physical tampering of transmission lines. </w:t>
      </w:r>
    </w:p>
    <w:p w14:paraId="232A1B23" w14:textId="77777777" w:rsidR="00845AA3" w:rsidRPr="00CA29CF" w:rsidRDefault="00845AA3" w:rsidP="00845AA3">
      <w:pPr>
        <w:pStyle w:val="BodyText"/>
        <w:tabs>
          <w:tab w:val="left" w:pos="860"/>
        </w:tabs>
        <w:spacing w:before="37"/>
        <w:ind w:left="0" w:right="136"/>
      </w:pP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 xml:space="preserve">Awareness of the DesignSafe Cybersecurity Plan for NHERI Awardees will be achieved via the </w:t>
      </w:r>
      <w:r>
        <w:lastRenderedPageBreak/>
        <w:t>Security Working Group, and assurance of awareness and compliance is achieved via the aforementioned audits.</w:t>
      </w:r>
    </w:p>
    <w:p w14:paraId="2E9B1EDA" w14:textId="4EB0B80D" w:rsidR="00845AA3" w:rsidRDefault="00845AA3" w:rsidP="00845AA3">
      <w:pPr>
        <w:pStyle w:val="BodyText"/>
        <w:tabs>
          <w:tab w:val="left" w:pos="860"/>
        </w:tabs>
        <w:spacing w:before="120"/>
        <w:ind w:left="0" w:right="130"/>
      </w:pPr>
      <w:r>
        <w:t xml:space="preserve">NHERI Awardees shall adhere to their local University cybersecurity </w:t>
      </w:r>
      <w:r w:rsidR="00597421">
        <w:t>policies and</w:t>
      </w:r>
      <w:r>
        <w:t xml:space="preserve"> participate in their local University cybersecurity awareness and training.</w:t>
      </w:r>
    </w:p>
    <w:p w14:paraId="0FFB5D1A" w14:textId="3F9A2CD9" w:rsidR="00845AA3" w:rsidRPr="00BB61EF" w:rsidRDefault="00597421" w:rsidP="00845AA3">
      <w:pPr>
        <w:pStyle w:val="BodyText"/>
        <w:tabs>
          <w:tab w:val="left" w:pos="860"/>
        </w:tabs>
        <w:spacing w:before="120"/>
        <w:ind w:left="0" w:right="130"/>
      </w:pPr>
      <w:r>
        <w:t>Members of the UT ISO have been certified in Various SANS training programs to provide a comprehensive overview.</w:t>
      </w:r>
    </w:p>
    <w:p w14:paraId="392F61FF" w14:textId="77777777" w:rsidR="00845AA3" w:rsidRPr="00B40C12" w:rsidRDefault="00845AA3" w:rsidP="00845AA3">
      <w:pPr>
        <w:pStyle w:val="BodyText"/>
        <w:tabs>
          <w:tab w:val="left" w:pos="860"/>
        </w:tabs>
        <w:spacing w:before="37"/>
        <w:ind w:left="0" w:right="136"/>
      </w:pPr>
    </w:p>
    <w:p w14:paraId="69CF4C46" w14:textId="77777777" w:rsidR="00845AA3" w:rsidRPr="00B40C12" w:rsidRDefault="00845AA3" w:rsidP="00C15E98">
      <w:pPr>
        <w:pStyle w:val="Heading1"/>
      </w:pPr>
      <w:r>
        <w:t>Incident Response and Notification Procedures</w:t>
      </w:r>
      <w:r w:rsidRPr="00B40C12">
        <w:t xml:space="preserve"> </w:t>
      </w:r>
    </w:p>
    <w:p w14:paraId="50AE1510" w14:textId="17402650"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r w:rsidR="00597421">
        <w:t xml:space="preserve">site </w:t>
      </w:r>
      <w:r w:rsidR="00597421" w:rsidRPr="00B40C12">
        <w:t>Management</w:t>
      </w:r>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6398592B" w14:textId="77777777" w:rsidR="0017497D" w:rsidRDefault="0017497D" w:rsidP="0017497D">
      <w:pPr>
        <w:pStyle w:val="BodyText"/>
      </w:pPr>
      <w:r w:rsidRPr="0017497D">
        <w:t>University of Texas at Austin employees are required to comply with both institutional rules and regulations and applicable UT System rules and regulations. In addition to university and System rules and regulations, University of Texas at Austin employees are required to comply with state laws and regulations.</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7D363EE5" w14:textId="6622A322" w:rsidR="00945EE5" w:rsidRDefault="007567BE" w:rsidP="007567BE">
      <w:pPr>
        <w:pStyle w:val="Heading1"/>
      </w:pPr>
      <w:r>
        <w:t>Related Institutional Policies and Procedures</w:t>
      </w:r>
    </w:p>
    <w:p w14:paraId="588AEAEF" w14:textId="4A48F623" w:rsidR="00945EE5" w:rsidRDefault="00945EE5" w:rsidP="00945EE5">
      <w:r>
        <w:t>UT Policies &amp; Standards:</w:t>
      </w:r>
    </w:p>
    <w:p w14:paraId="6C178B28" w14:textId="0A57A74C" w:rsidR="00945EE5" w:rsidRDefault="00945EE5" w:rsidP="00945EE5">
      <w:r>
        <w:t xml:space="preserve">UT Austin Information Resource Use Security Policy: </w:t>
      </w:r>
    </w:p>
    <w:p w14:paraId="48223DF5" w14:textId="5B083D98" w:rsidR="00945EE5" w:rsidRDefault="00BA07F8" w:rsidP="00945EE5">
      <w:hyperlink r:id="rId14" w:history="1">
        <w:r w:rsidR="00945EE5" w:rsidRPr="00C904C2">
          <w:rPr>
            <w:rStyle w:val="Hyperlink"/>
          </w:rPr>
          <w:t>https://security.utexas.edu/policies/irusp</w:t>
        </w:r>
      </w:hyperlink>
    </w:p>
    <w:p w14:paraId="12A13792" w14:textId="77777777" w:rsidR="00945EE5" w:rsidRDefault="00945EE5" w:rsidP="00945EE5"/>
    <w:p w14:paraId="5FB9BBDD" w14:textId="3BB288C6" w:rsidR="00945EE5" w:rsidRDefault="00945EE5" w:rsidP="00945EE5">
      <w:r>
        <w:t xml:space="preserve">UT Austin Campus IT Policies: </w:t>
      </w:r>
    </w:p>
    <w:p w14:paraId="42D3355A" w14:textId="0F67137D" w:rsidR="00945EE5" w:rsidRDefault="00BA07F8" w:rsidP="00945EE5">
      <w:hyperlink r:id="rId15" w:history="1">
        <w:r w:rsidR="00945EE5" w:rsidRPr="00C904C2">
          <w:rPr>
            <w:rStyle w:val="Hyperlink"/>
          </w:rPr>
          <w:t>https://cio.utexas.edu/policies</w:t>
        </w:r>
      </w:hyperlink>
    </w:p>
    <w:p w14:paraId="2BF468EE" w14:textId="77777777" w:rsidR="00945EE5" w:rsidRDefault="00945EE5" w:rsidP="00945EE5"/>
    <w:p w14:paraId="6463BA73" w14:textId="77777777" w:rsidR="00945EE5" w:rsidRDefault="00945EE5" w:rsidP="00945EE5">
      <w:r>
        <w:t>U.T. System Administration Policy</w:t>
      </w:r>
    </w:p>
    <w:p w14:paraId="00635165" w14:textId="77777777" w:rsidR="00945EE5" w:rsidRDefault="00945EE5" w:rsidP="00945EE5"/>
    <w:p w14:paraId="60F4AFA2" w14:textId="77777777" w:rsidR="00945EE5" w:rsidRDefault="00BA07F8" w:rsidP="00945EE5">
      <w:pPr>
        <w:rPr>
          <w:sz w:val="21"/>
          <w:szCs w:val="21"/>
        </w:rPr>
      </w:pPr>
      <w:hyperlink r:id="rId16" w:history="1">
        <w:r w:rsidR="00945EE5">
          <w:rPr>
            <w:rStyle w:val="Hyperlink"/>
            <w:rFonts w:ascii="Arial" w:hAnsi="Arial" w:cs="Arial"/>
            <w:color w:val="00529A"/>
            <w:sz w:val="21"/>
            <w:szCs w:val="21"/>
          </w:rPr>
          <w:t>INT124 </w:t>
        </w:r>
      </w:hyperlink>
      <w:hyperlink r:id="rId17" w:history="1">
        <w:r w:rsidR="00945EE5">
          <w:rPr>
            <w:rStyle w:val="Hyperlink"/>
            <w:rFonts w:ascii="Arial" w:hAnsi="Arial" w:cs="Arial"/>
            <w:i/>
            <w:iCs/>
            <w:color w:val="00529A"/>
            <w:sz w:val="21"/>
            <w:szCs w:val="21"/>
          </w:rPr>
          <w:t>Information Resources Acceptable Use and Security Policy</w:t>
        </w:r>
      </w:hyperlink>
    </w:p>
    <w:p w14:paraId="2602BC3C" w14:textId="77777777" w:rsidR="00945EE5" w:rsidRDefault="00BA07F8" w:rsidP="00945EE5">
      <w:pPr>
        <w:rPr>
          <w:sz w:val="21"/>
          <w:szCs w:val="21"/>
        </w:rPr>
      </w:pPr>
      <w:hyperlink r:id="rId18" w:history="1">
        <w:r w:rsidR="00945EE5">
          <w:rPr>
            <w:rStyle w:val="Hyperlink"/>
            <w:rFonts w:ascii="Arial" w:hAnsi="Arial" w:cs="Arial"/>
            <w:color w:val="00529A"/>
            <w:sz w:val="21"/>
            <w:szCs w:val="21"/>
          </w:rPr>
          <w:t>Information Resources Acceptable Use and Security Policy Agreement (AUP)</w:t>
        </w:r>
      </w:hyperlink>
    </w:p>
    <w:p w14:paraId="5E4273B1" w14:textId="77777777" w:rsidR="00945EE5" w:rsidRDefault="00945EE5" w:rsidP="00945EE5"/>
    <w:p w14:paraId="51FC103B" w14:textId="77777777" w:rsidR="00945EE5" w:rsidRDefault="00945EE5" w:rsidP="00945EE5">
      <w:r>
        <w:t>U.T. System Policy</w:t>
      </w:r>
    </w:p>
    <w:p w14:paraId="4E077762" w14:textId="77777777" w:rsidR="00945EE5" w:rsidRDefault="00BA07F8" w:rsidP="00945EE5">
      <w:pPr>
        <w:rPr>
          <w:sz w:val="21"/>
          <w:szCs w:val="21"/>
        </w:rPr>
      </w:pPr>
      <w:hyperlink r:id="rId19" w:history="1">
        <w:r w:rsidR="00945EE5">
          <w:rPr>
            <w:rStyle w:val="Hyperlink"/>
            <w:rFonts w:ascii="Arial" w:hAnsi="Arial" w:cs="Arial"/>
            <w:color w:val="00529A"/>
            <w:sz w:val="21"/>
            <w:szCs w:val="21"/>
          </w:rPr>
          <w:t>UTS 165 </w:t>
        </w:r>
        <w:r w:rsidR="00945EE5">
          <w:rPr>
            <w:rStyle w:val="Emphasis"/>
            <w:rFonts w:ascii="Arial" w:hAnsi="Arial" w:cs="Arial"/>
            <w:color w:val="00529A"/>
            <w:sz w:val="21"/>
            <w:szCs w:val="21"/>
            <w:u w:val="single"/>
          </w:rPr>
          <w:t>Information Resources Use and Security Policy</w:t>
        </w:r>
      </w:hyperlink>
    </w:p>
    <w:p w14:paraId="365D3860" w14:textId="77777777" w:rsidR="00945EE5" w:rsidRDefault="00945EE5" w:rsidP="00945EE5"/>
    <w:p w14:paraId="0F7BBD2D" w14:textId="77777777" w:rsidR="00945EE5" w:rsidRDefault="00945EE5" w:rsidP="00945EE5">
      <w:r>
        <w:t>Texas Department of Information Resources</w:t>
      </w:r>
    </w:p>
    <w:p w14:paraId="19152145" w14:textId="77777777" w:rsidR="00945EE5" w:rsidRDefault="00BA07F8" w:rsidP="00945EE5">
      <w:pPr>
        <w:rPr>
          <w:sz w:val="21"/>
          <w:szCs w:val="21"/>
        </w:rPr>
      </w:pPr>
      <w:hyperlink r:id="rId20" w:tgtFrame="_blank" w:history="1">
        <w:r w:rsidR="00945EE5">
          <w:rPr>
            <w:rStyle w:val="Hyperlink"/>
            <w:rFonts w:ascii="Arial" w:hAnsi="Arial" w:cs="Arial"/>
            <w:color w:val="00529A"/>
            <w:sz w:val="21"/>
            <w:szCs w:val="21"/>
          </w:rPr>
          <w:t>Texas Administrative Code 202 </w:t>
        </w:r>
        <w:r w:rsidR="00945EE5">
          <w:rPr>
            <w:rStyle w:val="Emphasis"/>
            <w:rFonts w:ascii="Arial" w:hAnsi="Arial" w:cs="Arial"/>
            <w:color w:val="00529A"/>
            <w:sz w:val="21"/>
            <w:szCs w:val="21"/>
            <w:u w:val="single"/>
          </w:rPr>
          <w:t>Information Resources Security Safeguards</w:t>
        </w:r>
      </w:hyperlink>
    </w:p>
    <w:p w14:paraId="2EDF119E" w14:textId="77777777" w:rsidR="00945EE5" w:rsidRDefault="00945EE5" w:rsidP="00945EE5"/>
    <w:p w14:paraId="07D08542" w14:textId="35EF9A4F" w:rsidR="0067621A" w:rsidRPr="0067621A" w:rsidRDefault="0067621A" w:rsidP="0067621A">
      <w:bookmarkStart w:id="4" w:name="_GoBack"/>
      <w:bookmarkEnd w:id="4"/>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7"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9"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5"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2"/>
  </w:num>
  <w:num w:numId="5">
    <w:abstractNumId w:val="13"/>
  </w:num>
  <w:num w:numId="6">
    <w:abstractNumId w:val="3"/>
  </w:num>
  <w:num w:numId="7">
    <w:abstractNumId w:val="5"/>
  </w:num>
  <w:num w:numId="8">
    <w:abstractNumId w:val="0"/>
  </w:num>
  <w:num w:numId="9">
    <w:abstractNumId w:val="2"/>
  </w:num>
  <w:num w:numId="10">
    <w:abstractNumId w:val="1"/>
  </w:num>
  <w:num w:numId="11">
    <w:abstractNumId w:val="10"/>
  </w:num>
  <w:num w:numId="12">
    <w:abstractNumId w:val="11"/>
  </w:num>
  <w:num w:numId="13">
    <w:abstractNumId w:val="6"/>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094779"/>
    <w:rsid w:val="0011767C"/>
    <w:rsid w:val="00132299"/>
    <w:rsid w:val="0017497D"/>
    <w:rsid w:val="001A3C76"/>
    <w:rsid w:val="001C5769"/>
    <w:rsid w:val="002E6533"/>
    <w:rsid w:val="0030535A"/>
    <w:rsid w:val="003645B9"/>
    <w:rsid w:val="003D6E00"/>
    <w:rsid w:val="003F31AA"/>
    <w:rsid w:val="00465CD6"/>
    <w:rsid w:val="00597421"/>
    <w:rsid w:val="005F22DD"/>
    <w:rsid w:val="0067621A"/>
    <w:rsid w:val="007567BE"/>
    <w:rsid w:val="00815536"/>
    <w:rsid w:val="00845AA3"/>
    <w:rsid w:val="00853087"/>
    <w:rsid w:val="008A4C94"/>
    <w:rsid w:val="00945EE5"/>
    <w:rsid w:val="009D79E6"/>
    <w:rsid w:val="00B73129"/>
    <w:rsid w:val="00B82FD6"/>
    <w:rsid w:val="00BA07F8"/>
    <w:rsid w:val="00C159AF"/>
    <w:rsid w:val="00C15E98"/>
    <w:rsid w:val="00E05F74"/>
    <w:rsid w:val="00E8419A"/>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5456">
      <w:bodyDiv w:val="1"/>
      <w:marLeft w:val="0"/>
      <w:marRight w:val="0"/>
      <w:marTop w:val="0"/>
      <w:marBottom w:val="0"/>
      <w:divBdr>
        <w:top w:val="none" w:sz="0" w:space="0" w:color="auto"/>
        <w:left w:val="none" w:sz="0" w:space="0" w:color="auto"/>
        <w:bottom w:val="none" w:sz="0" w:space="0" w:color="auto"/>
        <w:right w:val="none" w:sz="0" w:space="0" w:color="auto"/>
      </w:divBdr>
    </w:div>
    <w:div w:id="163254012">
      <w:bodyDiv w:val="1"/>
      <w:marLeft w:val="0"/>
      <w:marRight w:val="0"/>
      <w:marTop w:val="0"/>
      <w:marBottom w:val="0"/>
      <w:divBdr>
        <w:top w:val="none" w:sz="0" w:space="0" w:color="auto"/>
        <w:left w:val="none" w:sz="0" w:space="0" w:color="auto"/>
        <w:bottom w:val="none" w:sz="0" w:space="0" w:color="auto"/>
        <w:right w:val="none" w:sz="0" w:space="0" w:color="auto"/>
      </w:divBdr>
    </w:div>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472870237">
      <w:bodyDiv w:val="1"/>
      <w:marLeft w:val="0"/>
      <w:marRight w:val="0"/>
      <w:marTop w:val="0"/>
      <w:marBottom w:val="0"/>
      <w:divBdr>
        <w:top w:val="none" w:sz="0" w:space="0" w:color="auto"/>
        <w:left w:val="none" w:sz="0" w:space="0" w:color="auto"/>
        <w:bottom w:val="none" w:sz="0" w:space="0" w:color="auto"/>
        <w:right w:val="none" w:sz="0" w:space="0" w:color="auto"/>
      </w:divBdr>
    </w:div>
    <w:div w:id="531113581">
      <w:bodyDiv w:val="1"/>
      <w:marLeft w:val="0"/>
      <w:marRight w:val="0"/>
      <w:marTop w:val="0"/>
      <w:marBottom w:val="0"/>
      <w:divBdr>
        <w:top w:val="none" w:sz="0" w:space="0" w:color="auto"/>
        <w:left w:val="none" w:sz="0" w:space="0" w:color="auto"/>
        <w:bottom w:val="none" w:sz="0" w:space="0" w:color="auto"/>
        <w:right w:val="none" w:sz="0" w:space="0" w:color="auto"/>
      </w:divBdr>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719524226">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176479">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122304475">
      <w:bodyDiv w:val="1"/>
      <w:marLeft w:val="0"/>
      <w:marRight w:val="0"/>
      <w:marTop w:val="0"/>
      <w:marBottom w:val="0"/>
      <w:divBdr>
        <w:top w:val="none" w:sz="0" w:space="0" w:color="auto"/>
        <w:left w:val="none" w:sz="0" w:space="0" w:color="auto"/>
        <w:bottom w:val="none" w:sz="0" w:space="0" w:color="auto"/>
        <w:right w:val="none" w:sz="0" w:space="0" w:color="auto"/>
      </w:divBdr>
    </w:div>
    <w:div w:id="1155146918">
      <w:bodyDiv w:val="1"/>
      <w:marLeft w:val="0"/>
      <w:marRight w:val="0"/>
      <w:marTop w:val="0"/>
      <w:marBottom w:val="0"/>
      <w:divBdr>
        <w:top w:val="none" w:sz="0" w:space="0" w:color="auto"/>
        <w:left w:val="none" w:sz="0" w:space="0" w:color="auto"/>
        <w:bottom w:val="none" w:sz="0" w:space="0" w:color="auto"/>
        <w:right w:val="none" w:sz="0" w:space="0" w:color="auto"/>
      </w:divBdr>
    </w:div>
    <w:div w:id="1288973164">
      <w:bodyDiv w:val="1"/>
      <w:marLeft w:val="0"/>
      <w:marRight w:val="0"/>
      <w:marTop w:val="0"/>
      <w:marBottom w:val="0"/>
      <w:divBdr>
        <w:top w:val="none" w:sz="0" w:space="0" w:color="auto"/>
        <w:left w:val="none" w:sz="0" w:space="0" w:color="auto"/>
        <w:bottom w:val="none" w:sz="0" w:space="0" w:color="auto"/>
        <w:right w:val="none" w:sz="0" w:space="0" w:color="auto"/>
      </w:divBdr>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 w:id="1930967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direct.utexas.edu/dept/dept_info.WBX" TargetMode="External"/><Relationship Id="rId13" Type="http://schemas.openxmlformats.org/officeDocument/2006/relationships/hyperlink" Target="https://wikis.utexas.edu/pages/viewpage.action?pageId=20152783" TargetMode="External"/><Relationship Id="rId18" Type="http://schemas.openxmlformats.org/officeDocument/2006/relationships/hyperlink" Target="https://www.utsystem.edu/sites/default/files/offices/systemwide-compliance/CISO/Information%20Resources%20Acceptable%20Use%20Policy%20Agreement%20Form.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curity.utexas.edu/procedures/admininvest" TargetMode="External"/><Relationship Id="rId12" Type="http://schemas.openxmlformats.org/officeDocument/2006/relationships/hyperlink" Target="https://forms.security.utexas.edu/acceptable_use/about" TargetMode="External"/><Relationship Id="rId17" Type="http://schemas.openxmlformats.org/officeDocument/2006/relationships/hyperlink" Target="https://www.utsystem.edu/node/10201" TargetMode="External"/><Relationship Id="rId2" Type="http://schemas.openxmlformats.org/officeDocument/2006/relationships/styles" Target="styles.xml"/><Relationship Id="rId16" Type="http://schemas.openxmlformats.org/officeDocument/2006/relationships/hyperlink" Target="https://www.utsystem.edu/node/10201" TargetMode="External"/><Relationship Id="rId20" Type="http://schemas.openxmlformats.org/officeDocument/2006/relationships/hyperlink" Target="http://dir.texas.gov/View-About-DIR/Information-Security/Pages/Content.aspx?id=2" TargetMode="External"/><Relationship Id="rId1" Type="http://schemas.openxmlformats.org/officeDocument/2006/relationships/numbering" Target="numbering.xml"/><Relationship Id="rId6" Type="http://schemas.openxmlformats.org/officeDocument/2006/relationships/hyperlink" Target="http://www.utsystem.edu/bor/rules.htm" TargetMode="External"/><Relationship Id="rId11" Type="http://schemas.openxmlformats.org/officeDocument/2006/relationships/hyperlink" Target="https://stache.utexas.edu/" TargetMode="External"/><Relationship Id="rId5" Type="http://schemas.openxmlformats.org/officeDocument/2006/relationships/hyperlink" Target="http://www.utsystem.edu/board-of-regents/policy-library/policies/uts165-information-resources-use-and-security-policy" TargetMode="External"/><Relationship Id="rId15" Type="http://schemas.openxmlformats.org/officeDocument/2006/relationships/hyperlink" Target="https://cio.utexas.edu/policies" TargetMode="External"/><Relationship Id="rId10" Type="http://schemas.openxmlformats.org/officeDocument/2006/relationships/hyperlink" Target="https://forms.security.utexas.edu/acceptable_use/about" TargetMode="External"/><Relationship Id="rId19" Type="http://schemas.openxmlformats.org/officeDocument/2006/relationships/hyperlink" Target="https://www.utsystem.edu/node/9986" TargetMode="External"/><Relationship Id="rId4" Type="http://schemas.openxmlformats.org/officeDocument/2006/relationships/webSettings" Target="webSettings.xml"/><Relationship Id="rId9" Type="http://schemas.openxmlformats.org/officeDocument/2006/relationships/hyperlink" Target="http://www.utexas.edu/hr/forms/background_check_employee_em150a.pdf" TargetMode="External"/><Relationship Id="rId14" Type="http://schemas.openxmlformats.org/officeDocument/2006/relationships/hyperlink" Target="https://security.utexas.edu/policies/iru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3</cp:revision>
  <dcterms:created xsi:type="dcterms:W3CDTF">2018-05-08T18:10:00Z</dcterms:created>
  <dcterms:modified xsi:type="dcterms:W3CDTF">2018-05-09T16:16:00Z</dcterms:modified>
</cp:coreProperties>
</file>