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3924AF" w14:textId="77777777" w:rsidR="00FA3945" w:rsidRPr="00FA3945" w:rsidRDefault="00FA3945" w:rsidP="00FA3945">
      <w:pPr>
        <w:pStyle w:val="Heading1"/>
        <w:rPr>
          <w:sz w:val="40"/>
          <w:szCs w:val="40"/>
        </w:rPr>
      </w:pPr>
      <w:r w:rsidRPr="00FA3945">
        <w:rPr>
          <w:sz w:val="40"/>
          <w:szCs w:val="40"/>
        </w:rPr>
        <w:t>Proposed Set of Reportable Metrics</w:t>
      </w:r>
    </w:p>
    <w:p w14:paraId="3DC43ADD" w14:textId="1813BBE5" w:rsidR="00FA3945" w:rsidRPr="007815BD" w:rsidRDefault="00FA3945" w:rsidP="00FA3945">
      <w:pPr>
        <w:pStyle w:val="Heading1"/>
      </w:pPr>
      <w:r>
        <w:t>Purpose</w:t>
      </w:r>
      <w:r w:rsidRPr="007815BD">
        <w:t>:</w:t>
      </w:r>
    </w:p>
    <w:p w14:paraId="175E44DC" w14:textId="129526DC" w:rsidR="00C11D82" w:rsidRDefault="00E73526">
      <w:r>
        <w:t xml:space="preserve">This document attempts to define a set of </w:t>
      </w:r>
      <w:r w:rsidR="00834189">
        <w:t>reportable metrics</w:t>
      </w:r>
      <w:r w:rsidR="00A96D87">
        <w:t xml:space="preserve"> for utilization</w:t>
      </w:r>
      <w:r w:rsidR="00FA3945">
        <w:t xml:space="preserve"> that NHERI Equipment F</w:t>
      </w:r>
      <w:r w:rsidR="00834189">
        <w:t>acilities can report uniformly.</w:t>
      </w:r>
      <w:r w:rsidR="009549F1">
        <w:t xml:space="preserve"> The metrics are meant to </w:t>
      </w:r>
      <w:r w:rsidR="00C96F68">
        <w:t xml:space="preserve">both </w:t>
      </w:r>
      <w:r w:rsidR="009549F1">
        <w:t xml:space="preserve">reflect level of </w:t>
      </w:r>
      <w:r w:rsidR="00FA3945">
        <w:t xml:space="preserve">participation </w:t>
      </w:r>
      <w:r w:rsidR="009549F1">
        <w:t>and operating efficiency.</w:t>
      </w:r>
    </w:p>
    <w:p w14:paraId="3A6FC4E8" w14:textId="459BB973" w:rsidR="009549F1" w:rsidRPr="007815BD" w:rsidRDefault="007815BD" w:rsidP="00111843">
      <w:pPr>
        <w:pStyle w:val="Heading1"/>
      </w:pPr>
      <w:r w:rsidRPr="007815BD">
        <w:t>Background:</w:t>
      </w:r>
    </w:p>
    <w:p w14:paraId="6A2EE3E3" w14:textId="4D66371E" w:rsidR="00E3119C" w:rsidRDefault="00FA3945" w:rsidP="002B1759">
      <w:r>
        <w:t>In the</w:t>
      </w:r>
      <w:r w:rsidR="00E3119C">
        <w:t xml:space="preserve"> </w:t>
      </w:r>
      <w:r w:rsidR="002B1759">
        <w:t>cooperative agreements</w:t>
      </w:r>
      <w:r w:rsidR="00E3119C">
        <w:t xml:space="preserve">, </w:t>
      </w:r>
      <w:r w:rsidR="009964F1">
        <w:t>NSF defines utilization as</w:t>
      </w:r>
      <w:r>
        <w:t>:</w:t>
      </w:r>
      <w:r w:rsidR="009964F1">
        <w:t xml:space="preserve"> </w:t>
      </w:r>
      <w:r w:rsidR="002B1759" w:rsidRPr="00FA3945">
        <w:rPr>
          <w:i/>
        </w:rPr>
        <w:t>actual days of equipment utilization by NSF supported projects</w:t>
      </w:r>
      <w:r w:rsidR="00A17357" w:rsidRPr="00FA3945">
        <w:rPr>
          <w:i/>
        </w:rPr>
        <w:t xml:space="preserve"> </w:t>
      </w:r>
      <w:r w:rsidR="002B1759" w:rsidRPr="00FA3945">
        <w:rPr>
          <w:i/>
        </w:rPr>
        <w:t>/</w:t>
      </w:r>
      <w:r w:rsidR="00A17357" w:rsidRPr="00FA3945">
        <w:rPr>
          <w:i/>
        </w:rPr>
        <w:t xml:space="preserve"> </w:t>
      </w:r>
      <w:r w:rsidR="002B1759" w:rsidRPr="00FA3945">
        <w:rPr>
          <w:i/>
        </w:rPr>
        <w:t>total planned days of utilization as included in the approved final Annual Work Plan, including days planned for routine equipment maintenance and calibration</w:t>
      </w:r>
      <w:r w:rsidR="002B1759">
        <w:t xml:space="preserve">. </w:t>
      </w:r>
    </w:p>
    <w:p w14:paraId="7AB8AA4E" w14:textId="6319FB23" w:rsidR="00397741" w:rsidRDefault="00C96F68">
      <w:r>
        <w:t>It follows, then</w:t>
      </w:r>
      <w:r w:rsidR="00E3119C">
        <w:t xml:space="preserve">, </w:t>
      </w:r>
      <w:r>
        <w:t xml:space="preserve">that </w:t>
      </w:r>
      <w:r w:rsidR="001B5BF0">
        <w:t xml:space="preserve">NSF </w:t>
      </w:r>
      <w:r w:rsidR="00E3119C">
        <w:t xml:space="preserve">has </w:t>
      </w:r>
      <w:r w:rsidR="00E75FA7">
        <w:t>set forth the</w:t>
      </w:r>
      <w:r w:rsidR="00E3119C">
        <w:t xml:space="preserve"> following definitions</w:t>
      </w:r>
      <w:r w:rsidR="001B5BF0">
        <w:t>:</w:t>
      </w:r>
    </w:p>
    <w:p w14:paraId="78DBEF83" w14:textId="30ABCFFC" w:rsidR="001B5BF0" w:rsidRDefault="001B5BF0">
      <w:r w:rsidRPr="00C96F68">
        <w:rPr>
          <w:i/>
          <w:iCs/>
          <w:u w:val="single"/>
        </w:rPr>
        <w:t>Throughput</w:t>
      </w:r>
      <w:r>
        <w:t xml:space="preserve"> = days of equipment utilization by NSF supported projects</w:t>
      </w:r>
    </w:p>
    <w:p w14:paraId="4A56D6AE" w14:textId="45C4A663" w:rsidR="001B5BF0" w:rsidRDefault="001B5BF0">
      <w:r w:rsidRPr="00C96F68">
        <w:rPr>
          <w:i/>
          <w:iCs/>
          <w:u w:val="single"/>
        </w:rPr>
        <w:t>Capacity</w:t>
      </w:r>
      <w:r>
        <w:t xml:space="preserve"> = planned days of utilization as included in the approved final annual work plan, including days planned for routing equipment maintenance and calibration.</w:t>
      </w:r>
    </w:p>
    <w:p w14:paraId="223A9B28" w14:textId="02E43CCA" w:rsidR="00397741" w:rsidRDefault="006F14E7">
      <w:r>
        <w:t xml:space="preserve">There exists a fundamental conflict, however, in </w:t>
      </w:r>
      <w:r w:rsidR="00607431">
        <w:t>enforcing</w:t>
      </w:r>
      <w:r>
        <w:t xml:space="preserve"> </w:t>
      </w:r>
      <w:r w:rsidR="0095565D">
        <w:t xml:space="preserve">a single </w:t>
      </w:r>
      <w:r>
        <w:t>capacity</w:t>
      </w:r>
      <w:r w:rsidR="0095565D">
        <w:t xml:space="preserve"> metric</w:t>
      </w:r>
      <w:r>
        <w:t xml:space="preserve"> across </w:t>
      </w:r>
      <w:r w:rsidR="00680C02">
        <w:t xml:space="preserve">the multiple </w:t>
      </w:r>
      <w:r>
        <w:t>equipment facilit</w:t>
      </w:r>
      <w:r w:rsidR="00A67A12">
        <w:t>ies</w:t>
      </w:r>
      <w:r>
        <w:t xml:space="preserve"> </w:t>
      </w:r>
      <w:r w:rsidR="00A67A12">
        <w:t xml:space="preserve">because </w:t>
      </w:r>
      <w:r w:rsidR="00D80AF5">
        <w:t xml:space="preserve">each facility has </w:t>
      </w:r>
      <w:r w:rsidR="00A67A12">
        <w:t xml:space="preserve">a </w:t>
      </w:r>
      <w:r w:rsidR="00D80AF5">
        <w:t>unique business model</w:t>
      </w:r>
      <w:r w:rsidR="00EC3EA9">
        <w:t xml:space="preserve">. </w:t>
      </w:r>
      <w:r w:rsidR="007B5A5A">
        <w:t>C</w:t>
      </w:r>
      <w:r w:rsidR="00576FCC">
        <w:t>apacity metric</w:t>
      </w:r>
      <w:r w:rsidR="007B5A5A">
        <w:t>s</w:t>
      </w:r>
      <w:r w:rsidR="00576FCC">
        <w:t xml:space="preserve"> must be internally consistent with the local business model</w:t>
      </w:r>
      <w:r w:rsidR="00EC3EA9">
        <w:t>, and, i</w:t>
      </w:r>
      <w:r w:rsidR="00D80AF5">
        <w:t>n general, equipment facilities do not</w:t>
      </w:r>
      <w:r w:rsidR="007B5A5A">
        <w:t xml:space="preserve"> currently</w:t>
      </w:r>
      <w:r w:rsidR="00D80AF5">
        <w:t xml:space="preserve"> </w:t>
      </w:r>
      <w:r w:rsidR="00473FF5">
        <w:t>base their business models on days of utilization</w:t>
      </w:r>
      <w:r w:rsidR="00D80AF5">
        <w:t>.</w:t>
      </w:r>
      <w:r w:rsidR="00C44347">
        <w:t xml:space="preserve"> </w:t>
      </w:r>
      <w:r w:rsidR="0030560A">
        <w:t>Expressing capacity in terms of days</w:t>
      </w:r>
      <w:r w:rsidR="0088187C">
        <w:t xml:space="preserve"> across all sites </w:t>
      </w:r>
      <w:r w:rsidR="00680C02">
        <w:t>would</w:t>
      </w:r>
      <w:r w:rsidR="0088187C">
        <w:t xml:space="preserve"> </w:t>
      </w:r>
      <w:r w:rsidR="0030560A">
        <w:t xml:space="preserve">require either an abstract mapping of </w:t>
      </w:r>
      <w:r w:rsidR="00415FBE">
        <w:t>capacity</w:t>
      </w:r>
      <w:r w:rsidR="0088187C">
        <w:t xml:space="preserve"> </w:t>
      </w:r>
      <w:r w:rsidR="00415FBE">
        <w:t xml:space="preserve">expressed in local terms to </w:t>
      </w:r>
      <w:r w:rsidR="0088187C">
        <w:t xml:space="preserve">globally defined </w:t>
      </w:r>
      <w:r w:rsidR="00415FBE">
        <w:t>utilization days, or</w:t>
      </w:r>
      <w:r w:rsidR="00CF6C9E">
        <w:t xml:space="preserve"> </w:t>
      </w:r>
      <w:r w:rsidR="00415FBE">
        <w:t xml:space="preserve">a complete restructuring of </w:t>
      </w:r>
      <w:r w:rsidR="00A67A12">
        <w:t xml:space="preserve">each facility’s business model to </w:t>
      </w:r>
      <w:r w:rsidR="00FE73A3">
        <w:t>build</w:t>
      </w:r>
      <w:r w:rsidR="00A67A12">
        <w:t xml:space="preserve"> capacity around days.</w:t>
      </w:r>
      <w:r w:rsidR="00CF6C9E">
        <w:t xml:space="preserve"> The former requires high level interpretation</w:t>
      </w:r>
      <w:r w:rsidR="00165098">
        <w:t xml:space="preserve"> </w:t>
      </w:r>
      <w:r w:rsidR="00FE73A3">
        <w:t xml:space="preserve">when </w:t>
      </w:r>
      <w:r w:rsidR="00165098">
        <w:t>repo</w:t>
      </w:r>
      <w:r w:rsidR="00684082">
        <w:t>rting the metric, making it non-</w:t>
      </w:r>
      <w:r w:rsidR="00165098">
        <w:t>intuitive to evaluate. The lat</w:t>
      </w:r>
      <w:r w:rsidR="00684082">
        <w:t>t</w:t>
      </w:r>
      <w:r w:rsidR="00165098">
        <w:t>er is not recommended because expressing funded capacity in terms of utilization days puts the site in conflict with the user</w:t>
      </w:r>
      <w:r w:rsidR="00F746AF">
        <w:t xml:space="preserve"> and requires considerable effort to imple</w:t>
      </w:r>
      <w:r w:rsidR="00746FBA">
        <w:t>ment</w:t>
      </w:r>
      <w:r w:rsidR="00165098">
        <w:t xml:space="preserve">. </w:t>
      </w:r>
      <w:r w:rsidR="00FE73A3">
        <w:t>That is, d</w:t>
      </w:r>
      <w:r w:rsidR="00165098">
        <w:t>ays of utilization</w:t>
      </w:r>
      <w:r w:rsidR="00FE73A3">
        <w:t xml:space="preserve"> by the user</w:t>
      </w:r>
      <w:r w:rsidR="00165098">
        <w:t xml:space="preserve"> are inversely proportional the level of resources dedicated</w:t>
      </w:r>
      <w:r w:rsidR="00FE73A3">
        <w:t xml:space="preserve"> to the project</w:t>
      </w:r>
      <w:r w:rsidR="00165098">
        <w:t xml:space="preserve"> by the operator – the project goes faster when the site incurs more cost.</w:t>
      </w:r>
      <w:r w:rsidR="00F410D2">
        <w:t xml:space="preserve"> Furthermore, adopting new business models across the sites will incur major costs at each site </w:t>
      </w:r>
      <w:r w:rsidR="008A5CD3">
        <w:t>(through extensive staff effort)</w:t>
      </w:r>
      <w:r w:rsidR="00E812AC">
        <w:t>,</w:t>
      </w:r>
      <w:r w:rsidR="008A5CD3">
        <w:t xml:space="preserve"> </w:t>
      </w:r>
      <w:r w:rsidR="00F410D2">
        <w:t>and is subject to</w:t>
      </w:r>
      <w:r w:rsidR="00570311">
        <w:t xml:space="preserve"> local </w:t>
      </w:r>
      <w:r w:rsidR="008A5CD3">
        <w:t xml:space="preserve">review and </w:t>
      </w:r>
      <w:r w:rsidR="00570311">
        <w:t>acceptance by campus business units.</w:t>
      </w:r>
    </w:p>
    <w:p w14:paraId="1FEBCE5A" w14:textId="17CEDF88" w:rsidR="00A67A12" w:rsidRPr="008E0244" w:rsidRDefault="007815BD" w:rsidP="00111843">
      <w:pPr>
        <w:pStyle w:val="Heading1"/>
      </w:pPr>
      <w:r w:rsidRPr="008E0244">
        <w:t>Proposed solution:</w:t>
      </w:r>
    </w:p>
    <w:p w14:paraId="61D28506" w14:textId="0AF73794" w:rsidR="006D7C6B" w:rsidRDefault="006F1BBA" w:rsidP="00C7405E">
      <w:pPr>
        <w:pStyle w:val="ListParagraph"/>
        <w:numPr>
          <w:ilvl w:val="0"/>
          <w:numId w:val="2"/>
        </w:numPr>
      </w:pPr>
      <w:r>
        <w:t>Adopt a uniform set of metri</w:t>
      </w:r>
      <w:r w:rsidR="006A0306">
        <w:t xml:space="preserve">cs to </w:t>
      </w:r>
      <w:r w:rsidR="00B90C72">
        <w:t>demonstrate</w:t>
      </w:r>
      <w:r w:rsidR="006A0306">
        <w:t xml:space="preserve"> throughput at the equipment facilities</w:t>
      </w:r>
      <w:r w:rsidR="008A5CD3">
        <w:t xml:space="preserve"> that can be used to reflect level of engagement, or research impact</w:t>
      </w:r>
      <w:r w:rsidR="006A0306">
        <w:t xml:space="preserve">. </w:t>
      </w:r>
      <w:r w:rsidR="006D7C6B">
        <w:t>It is suggest</w:t>
      </w:r>
      <w:r w:rsidR="00B90C72">
        <w:t>ed</w:t>
      </w:r>
      <w:r w:rsidR="006D7C6B">
        <w:t xml:space="preserve"> to use </w:t>
      </w:r>
      <w:r w:rsidR="00B90C72">
        <w:t>metrics defined using</w:t>
      </w:r>
      <w:r w:rsidR="00E55888">
        <w:t xml:space="preserve"> days of use, similar to the structure reported by the </w:t>
      </w:r>
      <w:r w:rsidR="00D37100">
        <w:t xml:space="preserve">Academic Research Fleet. </w:t>
      </w:r>
      <w:r w:rsidR="00B90C72">
        <w:t xml:space="preserve">For example, a </w:t>
      </w:r>
      <w:r w:rsidR="00D37100">
        <w:t>large number of science days</w:t>
      </w:r>
      <w:r w:rsidR="00B90C72">
        <w:t xml:space="preserve"> would </w:t>
      </w:r>
      <w:r w:rsidR="003F79F8">
        <w:t xml:space="preserve">intuitively </w:t>
      </w:r>
      <w:r w:rsidR="00D37100">
        <w:t>reflect</w:t>
      </w:r>
      <w:r w:rsidR="00B90C72">
        <w:t xml:space="preserve"> that</w:t>
      </w:r>
      <w:r w:rsidR="00D37100">
        <w:t xml:space="preserve"> the equipment facility is being </w:t>
      </w:r>
      <w:r w:rsidR="003F79F8">
        <w:t>commonly</w:t>
      </w:r>
      <w:r w:rsidR="00D37100">
        <w:t xml:space="preserve"> used </w:t>
      </w:r>
      <w:r w:rsidR="00811FB3">
        <w:t>in science applications</w:t>
      </w:r>
      <w:r w:rsidR="003F79F8">
        <w:t xml:space="preserve"> </w:t>
      </w:r>
      <w:r w:rsidR="000F263F">
        <w:t>and would be</w:t>
      </w:r>
      <w:r w:rsidR="003F79F8">
        <w:t xml:space="preserve"> a useful evaluation</w:t>
      </w:r>
      <w:r w:rsidR="00811FB3">
        <w:t xml:space="preserve">. </w:t>
      </w:r>
      <w:r w:rsidR="003F79F8">
        <w:t>The metric</w:t>
      </w:r>
      <w:r w:rsidR="008C2699">
        <w:t xml:space="preserve"> could not be used to demonstrate utilization as a percentage of capacity, and</w:t>
      </w:r>
      <w:r w:rsidR="00B90C72">
        <w:t xml:space="preserve"> would not reflect the efficiency of use</w:t>
      </w:r>
      <w:r w:rsidR="008C2699">
        <w:t>.</w:t>
      </w:r>
    </w:p>
    <w:p w14:paraId="79D2306A" w14:textId="358E733F" w:rsidR="0030560A" w:rsidRDefault="00811FB3" w:rsidP="00C7405E">
      <w:pPr>
        <w:pStyle w:val="ListParagraph"/>
        <w:numPr>
          <w:ilvl w:val="0"/>
          <w:numId w:val="2"/>
        </w:numPr>
      </w:pPr>
      <w:r>
        <w:t xml:space="preserve">Adopt a uniform </w:t>
      </w:r>
      <w:r w:rsidR="001A79A7">
        <w:t>practice of reporting utilization</w:t>
      </w:r>
      <w:r w:rsidR="000F263F">
        <w:t xml:space="preserve"> </w:t>
      </w:r>
      <w:r w:rsidR="001A79A7">
        <w:t xml:space="preserve">as </w:t>
      </w:r>
      <w:r w:rsidR="008C2699">
        <w:t xml:space="preserve">throughput divided by capacity using local </w:t>
      </w:r>
      <w:r w:rsidR="00A93C72">
        <w:t xml:space="preserve">definitions of </w:t>
      </w:r>
      <w:r w:rsidR="00746FBA">
        <w:t>throughput and capacity</w:t>
      </w:r>
      <w:r w:rsidR="008C2699">
        <w:t xml:space="preserve">. </w:t>
      </w:r>
      <w:r w:rsidR="009B7B50">
        <w:t>A uniform set of categories may be possible</w:t>
      </w:r>
      <w:r w:rsidR="003642EA">
        <w:t>, so</w:t>
      </w:r>
      <w:r w:rsidR="00A93C72">
        <w:t xml:space="preserve">, for </w:t>
      </w:r>
      <w:r w:rsidR="00A93C72">
        <w:lastRenderedPageBreak/>
        <w:t xml:space="preserve">example, </w:t>
      </w:r>
      <w:r w:rsidR="003642EA">
        <w:t xml:space="preserve">equipment facilities could report X% </w:t>
      </w:r>
      <w:r w:rsidR="00185A29">
        <w:t>supporting the science of</w:t>
      </w:r>
      <w:r w:rsidR="003642EA">
        <w:t xml:space="preserve"> project A, Y% in maintenance</w:t>
      </w:r>
      <w:r w:rsidR="00185A29">
        <w:t xml:space="preserve">, Z% administration, etc. The utilization </w:t>
      </w:r>
      <w:r w:rsidR="00A93C72">
        <w:t xml:space="preserve">percentage would be </w:t>
      </w:r>
      <w:r w:rsidR="008E0244">
        <w:t>compar</w:t>
      </w:r>
      <w:r w:rsidR="00A93C72">
        <w:t xml:space="preserve">able </w:t>
      </w:r>
      <w:r w:rsidR="008E0244">
        <w:t xml:space="preserve">across sites by category, but the raw throughput and capacity numbers likely </w:t>
      </w:r>
      <w:r w:rsidR="00A93C72">
        <w:t>would not be</w:t>
      </w:r>
      <w:r w:rsidR="008E0244">
        <w:t>.</w:t>
      </w:r>
    </w:p>
    <w:p w14:paraId="3042FC59" w14:textId="4E08B3B4" w:rsidR="00A96D87" w:rsidRDefault="00A96D87">
      <w:r>
        <w:t>A stra</w:t>
      </w:r>
      <w:r w:rsidR="00C7405E">
        <w:t>wman</w:t>
      </w:r>
      <w:r>
        <w:t xml:space="preserve"> implementation of the reporting solution is given below.</w:t>
      </w:r>
    </w:p>
    <w:p w14:paraId="08D96A78" w14:textId="221A82F6" w:rsidR="008E0244" w:rsidRPr="00514458" w:rsidRDefault="00514458" w:rsidP="00111843">
      <w:pPr>
        <w:pStyle w:val="Heading2"/>
      </w:pPr>
      <w:r>
        <w:t>An e</w:t>
      </w:r>
      <w:r w:rsidR="00A96D87" w:rsidRPr="00514458">
        <w:t>xample reporting structure:</w:t>
      </w:r>
    </w:p>
    <w:p w14:paraId="7E311B64" w14:textId="66D022BC" w:rsidR="00A96D87" w:rsidRDefault="000B4C9A">
      <w:r>
        <w:t xml:space="preserve">The University-National Oceanographic Laboratory System </w:t>
      </w:r>
      <w:r w:rsidR="00EC3D18">
        <w:t>has the following list of Activity/Day types (</w:t>
      </w:r>
      <w:hyperlink r:id="rId10" w:history="1">
        <w:r w:rsidR="00EC3D18">
          <w:rPr>
            <w:rStyle w:val="Hyperlink"/>
          </w:rPr>
          <w:t>https://strs.unols.org/Public/diu_faq_view.aspx?short=DayTypesDefinitions</w:t>
        </w:r>
      </w:hyperlink>
      <w:r w:rsidR="00EC3D18">
        <w:t>):</w:t>
      </w:r>
    </w:p>
    <w:p w14:paraId="1397A23B" w14:textId="77777777" w:rsidR="00B152AE" w:rsidRDefault="00B152AE" w:rsidP="00B152AE">
      <w:pPr>
        <w:pStyle w:val="ListParagraph"/>
        <w:numPr>
          <w:ilvl w:val="0"/>
          <w:numId w:val="1"/>
        </w:numPr>
      </w:pPr>
      <w:r w:rsidRPr="00B152AE">
        <w:rPr>
          <w:b/>
          <w:bCs/>
        </w:rPr>
        <w:t>At Sea for Science Day:</w:t>
      </w:r>
      <w:r>
        <w:t xml:space="preserve"> All days at sea incident to the scientific mission.</w:t>
      </w:r>
    </w:p>
    <w:p w14:paraId="00B19015" w14:textId="77777777" w:rsidR="00B152AE" w:rsidRDefault="00B152AE" w:rsidP="00B152AE">
      <w:pPr>
        <w:pStyle w:val="ListParagraph"/>
        <w:numPr>
          <w:ilvl w:val="0"/>
          <w:numId w:val="1"/>
        </w:numPr>
      </w:pPr>
      <w:r w:rsidRPr="00B152AE">
        <w:rPr>
          <w:b/>
          <w:bCs/>
        </w:rPr>
        <w:t>Available for Service Day:</w:t>
      </w:r>
      <w:r>
        <w:t xml:space="preserve"> Ship is mechanically and administratively prepared for at sea operations but not currently scheduled for any mission or project. Routine outfitting and general upkeep can occur during these days.</w:t>
      </w:r>
    </w:p>
    <w:p w14:paraId="2A9A7882" w14:textId="77777777" w:rsidR="00B152AE" w:rsidRDefault="00B152AE" w:rsidP="00B152AE">
      <w:pPr>
        <w:pStyle w:val="ListParagraph"/>
        <w:numPr>
          <w:ilvl w:val="0"/>
          <w:numId w:val="1"/>
        </w:numPr>
      </w:pPr>
      <w:r w:rsidRPr="00B152AE">
        <w:rPr>
          <w:b/>
          <w:bCs/>
        </w:rPr>
        <w:t>Inspection Day:</w:t>
      </w:r>
      <w:r>
        <w:t xml:space="preserve"> A day in which the ship is undergoing an inspection by Navy, INSURV, NSF, USCG, ABS, other regulatory body, or an insurance company.</w:t>
      </w:r>
    </w:p>
    <w:p w14:paraId="68DDD953" w14:textId="77777777" w:rsidR="00B152AE" w:rsidRDefault="00B152AE" w:rsidP="00B152AE">
      <w:pPr>
        <w:pStyle w:val="ListParagraph"/>
        <w:numPr>
          <w:ilvl w:val="0"/>
          <w:numId w:val="1"/>
        </w:numPr>
      </w:pPr>
      <w:r w:rsidRPr="00B152AE">
        <w:rPr>
          <w:b/>
          <w:bCs/>
        </w:rPr>
        <w:t>Outreach Day:</w:t>
      </w:r>
      <w:r>
        <w:t xml:space="preserve"> A day in which the ship is primarily devoted to conducting an open house or other public outreach event. Include days spent mobilizing and demobilizing for the event.</w:t>
      </w:r>
    </w:p>
    <w:p w14:paraId="6AE5575A" w14:textId="06F2B12E" w:rsidR="00B152AE" w:rsidRDefault="00B152AE" w:rsidP="00B152AE">
      <w:pPr>
        <w:pStyle w:val="ListParagraph"/>
        <w:numPr>
          <w:ilvl w:val="0"/>
          <w:numId w:val="1"/>
        </w:numPr>
      </w:pPr>
      <w:r w:rsidRPr="00B152AE">
        <w:rPr>
          <w:b/>
          <w:bCs/>
        </w:rPr>
        <w:t>Standby Day:</w:t>
      </w:r>
      <w:r>
        <w:t xml:space="preserve"> Days in port for purposes of crew rest (e.g.</w:t>
      </w:r>
      <w:r w:rsidR="00F97B4D">
        <w:t xml:space="preserve"> </w:t>
      </w:r>
      <w:r>
        <w:t>weekends if that fits your ship) or weather/environmental reasons.</w:t>
      </w:r>
    </w:p>
    <w:p w14:paraId="48CBB076" w14:textId="77777777" w:rsidR="00B152AE" w:rsidRDefault="00B152AE" w:rsidP="00B152AE">
      <w:pPr>
        <w:pStyle w:val="ListParagraph"/>
        <w:numPr>
          <w:ilvl w:val="0"/>
          <w:numId w:val="1"/>
        </w:numPr>
      </w:pPr>
      <w:r w:rsidRPr="00B152AE">
        <w:rPr>
          <w:b/>
          <w:bCs/>
        </w:rPr>
        <w:t>Overhaul or Repair Day:</w:t>
      </w:r>
      <w:r>
        <w:t xml:space="preserve"> Planned shipyard overhaul or emergency repairs. Days undergoing overhauls, dry-docking, or other scheduled or unscheduled repairs during which the ship is not available for service. </w:t>
      </w:r>
      <w:proofErr w:type="gramStart"/>
      <w:r>
        <w:t>Also</w:t>
      </w:r>
      <w:proofErr w:type="gramEnd"/>
      <w:r>
        <w:t xml:space="preserve"> would include at sea shakedown of ship's overhauled equipment.</w:t>
      </w:r>
    </w:p>
    <w:p w14:paraId="52BEF9F2" w14:textId="2783D800" w:rsidR="00B152AE" w:rsidRDefault="00B152AE" w:rsidP="00B152AE">
      <w:pPr>
        <w:pStyle w:val="ListParagraph"/>
        <w:numPr>
          <w:ilvl w:val="0"/>
          <w:numId w:val="1"/>
        </w:numPr>
      </w:pPr>
      <w:r w:rsidRPr="00B152AE">
        <w:rPr>
          <w:b/>
          <w:bCs/>
        </w:rPr>
        <w:t>General Upkeep and Outfitting Day:</w:t>
      </w:r>
      <w:r>
        <w:t xml:space="preserve"> Days in port for purposes of fitting out, general upkeep, and routine outfitting and minor pier</w:t>
      </w:r>
      <w:r w:rsidR="00F97B4D">
        <w:t xml:space="preserve"> </w:t>
      </w:r>
      <w:r>
        <w:t>side maintenance, which does not take the vessel out of service.</w:t>
      </w:r>
    </w:p>
    <w:p w14:paraId="1336772F" w14:textId="77777777" w:rsidR="00B152AE" w:rsidRDefault="00B152AE" w:rsidP="00B152AE">
      <w:pPr>
        <w:pStyle w:val="ListParagraph"/>
        <w:numPr>
          <w:ilvl w:val="0"/>
          <w:numId w:val="1"/>
        </w:numPr>
      </w:pPr>
      <w:r w:rsidRPr="00B152AE">
        <w:rPr>
          <w:b/>
          <w:bCs/>
        </w:rPr>
        <w:t>Out of Service Day:</w:t>
      </w:r>
      <w:r>
        <w:t xml:space="preserve"> Days in which a ship is laid up out of service for an extended period for reasons of economy, unemployment, or unfitness for service.</w:t>
      </w:r>
    </w:p>
    <w:p w14:paraId="57E9268E" w14:textId="545670E9" w:rsidR="00EC3D18" w:rsidRDefault="00B152AE" w:rsidP="00B152AE">
      <w:pPr>
        <w:pStyle w:val="ListParagraph"/>
        <w:numPr>
          <w:ilvl w:val="0"/>
          <w:numId w:val="1"/>
        </w:numPr>
      </w:pPr>
      <w:r w:rsidRPr="00B152AE">
        <w:rPr>
          <w:b/>
          <w:bCs/>
        </w:rPr>
        <w:t>Transit Day:</w:t>
      </w:r>
      <w:r>
        <w:t xml:space="preserve"> At-sea days primarily for the purpose of going from one port to another or to/from a port and an area of research.</w:t>
      </w:r>
    </w:p>
    <w:p w14:paraId="1DB3B20A" w14:textId="365B241B" w:rsidR="00811FB3" w:rsidRPr="00746FBA" w:rsidRDefault="002D14C5">
      <w:pPr>
        <w:rPr>
          <w:i/>
          <w:iCs/>
          <w:highlight w:val="yellow"/>
        </w:rPr>
      </w:pPr>
      <w:r w:rsidRPr="00746FBA">
        <w:rPr>
          <w:i/>
          <w:iCs/>
          <w:highlight w:val="yellow"/>
        </w:rPr>
        <w:t>Days are exclusive such that the major category of activity each day is reported for that day.</w:t>
      </w:r>
    </w:p>
    <w:p w14:paraId="6184EBDC" w14:textId="5AFF22CE" w:rsidR="002D14C5" w:rsidRPr="00746FBA" w:rsidRDefault="00C7127A">
      <w:pPr>
        <w:rPr>
          <w:i/>
          <w:iCs/>
        </w:rPr>
      </w:pPr>
      <w:r w:rsidRPr="00746FBA">
        <w:rPr>
          <w:i/>
          <w:iCs/>
          <w:highlight w:val="yellow"/>
        </w:rPr>
        <w:t>The fleet’s business model is structured around days of use such that annual work plan capacity</w:t>
      </w:r>
      <w:r w:rsidR="001E13AC" w:rsidRPr="00746FBA">
        <w:rPr>
          <w:i/>
          <w:iCs/>
          <w:highlight w:val="yellow"/>
        </w:rPr>
        <w:t xml:space="preserve"> and utilization can be expressed </w:t>
      </w:r>
      <w:r w:rsidR="00514458" w:rsidRPr="00746FBA">
        <w:rPr>
          <w:i/>
          <w:iCs/>
          <w:highlight w:val="yellow"/>
        </w:rPr>
        <w:t>with activity days.</w:t>
      </w:r>
      <w:r w:rsidR="00F97B4D">
        <w:rPr>
          <w:i/>
          <w:iCs/>
        </w:rPr>
        <w:t xml:space="preserve"> (needs further confirmation</w:t>
      </w:r>
      <w:r w:rsidR="00514458" w:rsidRPr="00746FBA">
        <w:rPr>
          <w:i/>
          <w:iCs/>
        </w:rPr>
        <w:t>)</w:t>
      </w:r>
    </w:p>
    <w:p w14:paraId="5C8E7516" w14:textId="77777777" w:rsidR="00A17357" w:rsidRPr="00746FBA" w:rsidRDefault="00A17357">
      <w:pPr>
        <w:rPr>
          <w:i/>
          <w:iCs/>
        </w:rPr>
      </w:pPr>
    </w:p>
    <w:p w14:paraId="6E3048A0" w14:textId="422B9B35" w:rsidR="00834189" w:rsidRPr="00485238" w:rsidRDefault="00F97B4D" w:rsidP="00111843">
      <w:pPr>
        <w:pStyle w:val="Heading1"/>
      </w:pPr>
      <w:r>
        <w:t>Strawman</w:t>
      </w:r>
      <w:r w:rsidR="00FB3F4E" w:rsidRPr="00485238">
        <w:t xml:space="preserve"> implementation </w:t>
      </w:r>
      <w:r w:rsidR="00ED16BB">
        <w:t xml:space="preserve">A </w:t>
      </w:r>
      <w:r w:rsidR="00215D49" w:rsidRPr="00485238">
        <w:t>–</w:t>
      </w:r>
      <w:r w:rsidR="00FB3F4E" w:rsidRPr="00485238">
        <w:t xml:space="preserve"> throughput</w:t>
      </w:r>
    </w:p>
    <w:p w14:paraId="0E7D5F35" w14:textId="341C3DE9" w:rsidR="00CC3D89" w:rsidRPr="0084012D" w:rsidRDefault="00215D49">
      <w:pPr>
        <w:rPr>
          <w:b/>
          <w:bCs/>
        </w:rPr>
      </w:pPr>
      <w:r w:rsidRPr="0084012D">
        <w:rPr>
          <w:b/>
          <w:bCs/>
        </w:rPr>
        <w:t>Goal</w:t>
      </w:r>
      <w:r w:rsidR="00CC3D89" w:rsidRPr="0084012D">
        <w:rPr>
          <w:b/>
          <w:bCs/>
        </w:rPr>
        <w:t>s</w:t>
      </w:r>
      <w:r w:rsidRPr="0084012D">
        <w:rPr>
          <w:b/>
          <w:bCs/>
        </w:rPr>
        <w:t xml:space="preserve"> – produce an easy to track metric that</w:t>
      </w:r>
      <w:r w:rsidR="00CC3D89" w:rsidRPr="0084012D">
        <w:rPr>
          <w:b/>
          <w:bCs/>
        </w:rPr>
        <w:t>:</w:t>
      </w:r>
    </w:p>
    <w:p w14:paraId="5967787A" w14:textId="08974AC3" w:rsidR="00CC3D89" w:rsidRDefault="00215D49" w:rsidP="00CC3D89">
      <w:pPr>
        <w:pStyle w:val="ListParagraph"/>
        <w:numPr>
          <w:ilvl w:val="0"/>
          <w:numId w:val="1"/>
        </w:numPr>
      </w:pPr>
      <w:r>
        <w:t>can be captured by operations staff</w:t>
      </w:r>
      <w:r w:rsidR="00CC3D89">
        <w:t xml:space="preserve"> during their normal workflow</w:t>
      </w:r>
    </w:p>
    <w:p w14:paraId="3A67BC80" w14:textId="6503BC94" w:rsidR="00215D49" w:rsidRDefault="00CC3D89" w:rsidP="00CC3D89">
      <w:pPr>
        <w:pStyle w:val="ListParagraph"/>
        <w:numPr>
          <w:ilvl w:val="0"/>
          <w:numId w:val="1"/>
        </w:numPr>
      </w:pPr>
      <w:r>
        <w:t>does not require additional high-level interpretation before reporting</w:t>
      </w:r>
    </w:p>
    <w:p w14:paraId="492B13A2" w14:textId="3D76ACD5" w:rsidR="00CC3D89" w:rsidRDefault="00CC3D89" w:rsidP="00CC3D89">
      <w:pPr>
        <w:pStyle w:val="ListParagraph"/>
        <w:numPr>
          <w:ilvl w:val="0"/>
          <w:numId w:val="1"/>
        </w:numPr>
      </w:pPr>
      <w:r>
        <w:t xml:space="preserve">is intuitively obvious to </w:t>
      </w:r>
      <w:r w:rsidR="006A6FE6">
        <w:t>a reviewer</w:t>
      </w:r>
    </w:p>
    <w:p w14:paraId="633213F4" w14:textId="36406956" w:rsidR="002D7434" w:rsidRDefault="006A6FE6" w:rsidP="002D7434">
      <w:pPr>
        <w:pStyle w:val="ListParagraph"/>
        <w:numPr>
          <w:ilvl w:val="0"/>
          <w:numId w:val="1"/>
        </w:numPr>
      </w:pPr>
      <w:r>
        <w:t xml:space="preserve">provides </w:t>
      </w:r>
      <w:r w:rsidR="00180862">
        <w:t xml:space="preserve">quantifiable data reflective of the </w:t>
      </w:r>
      <w:r w:rsidR="00746FBA">
        <w:t xml:space="preserve">level of </w:t>
      </w:r>
      <w:r w:rsidR="00AD0859">
        <w:t>engagement of the equipment facility by science users</w:t>
      </w:r>
    </w:p>
    <w:p w14:paraId="01291BE9" w14:textId="7C920A36" w:rsidR="00AE6891" w:rsidRPr="00485238" w:rsidRDefault="00AE6891" w:rsidP="00111843">
      <w:pPr>
        <w:pStyle w:val="Heading2"/>
      </w:pPr>
      <w:r w:rsidRPr="00485238">
        <w:lastRenderedPageBreak/>
        <w:t>Data gathering:</w:t>
      </w:r>
    </w:p>
    <w:p w14:paraId="71552EF8" w14:textId="39B85DC7" w:rsidR="00AE6891" w:rsidRDefault="006740D2" w:rsidP="006A6FE6">
      <w:r>
        <w:t xml:space="preserve">Data should be </w:t>
      </w:r>
      <w:r w:rsidR="008804D1">
        <w:t xml:space="preserve">tracked on the use of the facility via components at the discretion of the facility, using as few of components as reasonable to </w:t>
      </w:r>
      <w:r w:rsidR="00701879">
        <w:t>accurately</w:t>
      </w:r>
      <w:r w:rsidR="008804D1">
        <w:t xml:space="preserve"> reflect engagement of the facility. </w:t>
      </w:r>
      <w:r w:rsidR="000B3FB3">
        <w:t>For example, the academic fleet reports at the individual ship level</w:t>
      </w:r>
      <w:r w:rsidR="00701879">
        <w:t>, not the fleet level, and not at</w:t>
      </w:r>
      <w:r w:rsidR="00124394">
        <w:t xml:space="preserve"> the individual resource level</w:t>
      </w:r>
      <w:r w:rsidR="00111843">
        <w:t>. At UC Davis, for example, they</w:t>
      </w:r>
      <w:r w:rsidR="000B3FB3">
        <w:t xml:space="preserve"> plan to report </w:t>
      </w:r>
      <w:r w:rsidR="00111843">
        <w:t>at the facility level. They</w:t>
      </w:r>
      <w:r w:rsidR="00612F9A">
        <w:t xml:space="preserve"> could easily track at the centrifuge level, logging use of the 1m and 9m centrifuges separately</w:t>
      </w:r>
      <w:r w:rsidR="00F97DEB">
        <w:t>. These machines are used independently and often in parallel.</w:t>
      </w:r>
      <w:r w:rsidR="00334A5E">
        <w:t xml:space="preserve"> </w:t>
      </w:r>
      <w:r w:rsidR="003D0E42">
        <w:t>But,</w:t>
      </w:r>
      <w:r w:rsidR="00111843">
        <w:t xml:space="preserve"> they</w:t>
      </w:r>
      <w:r w:rsidR="00746FBA">
        <w:t xml:space="preserve"> feel</w:t>
      </w:r>
      <w:r w:rsidR="003D0E42">
        <w:t xml:space="preserve"> </w:t>
      </w:r>
      <w:r w:rsidR="00451F94">
        <w:t>independent tracking</w:t>
      </w:r>
      <w:r w:rsidR="005912CD">
        <w:t xml:space="preserve"> of these machines</w:t>
      </w:r>
      <w:r w:rsidR="00451F94">
        <w:t xml:space="preserve"> does not accurately reflect staff </w:t>
      </w:r>
      <w:r w:rsidR="005912CD">
        <w:t xml:space="preserve">engagement for </w:t>
      </w:r>
      <w:r w:rsidR="00111843">
        <w:t>the</w:t>
      </w:r>
      <w:r w:rsidR="005912CD">
        <w:t xml:space="preserve"> facility</w:t>
      </w:r>
      <w:r w:rsidR="00451F94">
        <w:t xml:space="preserve">. </w:t>
      </w:r>
      <w:r w:rsidR="00111843">
        <w:t>For example, in the spring they</w:t>
      </w:r>
      <w:r w:rsidR="00AD52D2">
        <w:t xml:space="preserve"> began a maintenance cycle on the 1m centrifuge that made the machine unavailable for use. </w:t>
      </w:r>
      <w:r w:rsidR="00111843">
        <w:t>This summer they</w:t>
      </w:r>
      <w:r w:rsidR="004859E8">
        <w:t xml:space="preserve"> have </w:t>
      </w:r>
      <w:r w:rsidR="002C0C24">
        <w:t>chosen to leave</w:t>
      </w:r>
      <w:r w:rsidR="004859E8">
        <w:t xml:space="preserve"> the 1m machine idle as </w:t>
      </w:r>
      <w:r w:rsidR="00111843">
        <w:t>the</w:t>
      </w:r>
      <w:r w:rsidR="00EA3BF9">
        <w:t xml:space="preserve"> staff have been saturated supporting multiple </w:t>
      </w:r>
      <w:r w:rsidR="004859E8">
        <w:t>projects working simultaneously on</w:t>
      </w:r>
      <w:r w:rsidR="00EA3BF9">
        <w:t xml:space="preserve"> the</w:t>
      </w:r>
      <w:r w:rsidR="004859E8">
        <w:t xml:space="preserve"> 9m centrifuge</w:t>
      </w:r>
      <w:r w:rsidR="00DC2A42">
        <w:t xml:space="preserve">, and </w:t>
      </w:r>
      <w:r w:rsidR="002C0C24">
        <w:t xml:space="preserve">there </w:t>
      </w:r>
      <w:r w:rsidR="005912CD">
        <w:t>has not been</w:t>
      </w:r>
      <w:r w:rsidR="002C0C24">
        <w:t xml:space="preserve"> an immediate project need for the 1m centrifuge</w:t>
      </w:r>
      <w:r w:rsidR="004859E8">
        <w:t>. Every day of the summer has been a science day for the staff</w:t>
      </w:r>
      <w:r w:rsidR="00EA3BF9">
        <w:t xml:space="preserve">. </w:t>
      </w:r>
      <w:r w:rsidR="007B335C">
        <w:t>It would be inaccurate to report 90 Science Days for the 9m centrifuge and 90 repair days for the 1m centrifuge.</w:t>
      </w:r>
    </w:p>
    <w:p w14:paraId="64472B44" w14:textId="62AC9247" w:rsidR="005912CD" w:rsidRDefault="00FA2D66" w:rsidP="006A6FE6">
      <w:r>
        <w:t>The following data should be collected on a daily basis:</w:t>
      </w:r>
    </w:p>
    <w:p w14:paraId="117497BF" w14:textId="397DDEC8" w:rsidR="00FA2D66" w:rsidRDefault="0007495D" w:rsidP="006A6FE6">
      <w:r>
        <w:t xml:space="preserve">Projects active on site, or staff actively engaged in project-specific research support: </w:t>
      </w:r>
      <w:r w:rsidR="00336721">
        <w:t xml:space="preserve">Typically means students are on site, </w:t>
      </w:r>
      <w:r w:rsidR="004D6757">
        <w:t>actively and significantly using shared resources within the lab. It may also mean facility staff are actively working on the project science independent of project personnel (e.g., RAPID facility personnel independently process data from the field following missions).</w:t>
      </w:r>
      <w:r w:rsidR="00336721">
        <w:t xml:space="preserve"> </w:t>
      </w:r>
      <w:r w:rsidR="002C0454">
        <w:t>Minor support of research, such as remote planning meetings, would not count</w:t>
      </w:r>
      <w:r w:rsidR="00336721">
        <w:t>, and students</w:t>
      </w:r>
      <w:r w:rsidR="003D7B2C">
        <w:t xml:space="preserve"> simply</w:t>
      </w:r>
      <w:r w:rsidR="00336721">
        <w:t xml:space="preserve"> using office space would not count</w:t>
      </w:r>
      <w:r w:rsidR="002C0454">
        <w:t>. The goal is to capture days of significant engagement.</w:t>
      </w:r>
      <w:r w:rsidR="004D6757">
        <w:t xml:space="preserve"> The daily log should track which projects are active each day.</w:t>
      </w:r>
    </w:p>
    <w:p w14:paraId="05180BE5" w14:textId="559827F5" w:rsidR="008C3691" w:rsidRDefault="002C0454" w:rsidP="006A6FE6">
      <w:r>
        <w:t xml:space="preserve">Tours and events: </w:t>
      </w:r>
      <w:r w:rsidR="000A301D">
        <w:t xml:space="preserve">Maintain a daily log of tours and events that significantly engage the </w:t>
      </w:r>
      <w:r w:rsidR="007E17D3">
        <w:t xml:space="preserve">equipment facility. This should include events hosted at the site </w:t>
      </w:r>
      <w:r w:rsidR="00997279">
        <w:t xml:space="preserve">(common) </w:t>
      </w:r>
      <w:r w:rsidR="007E17D3">
        <w:t xml:space="preserve">as well as events where site personnel </w:t>
      </w:r>
      <w:r w:rsidR="00801B8A">
        <w:t>significantly participate in off-site outreach events</w:t>
      </w:r>
      <w:r w:rsidR="00997279">
        <w:t xml:space="preserve"> (less common)</w:t>
      </w:r>
      <w:r w:rsidR="00801B8A">
        <w:t>.</w:t>
      </w:r>
    </w:p>
    <w:p w14:paraId="4941C941" w14:textId="6CA414D4" w:rsidR="00453B4E" w:rsidRDefault="00453B4E" w:rsidP="006A6FE6">
      <w:r>
        <w:t>Inspections</w:t>
      </w:r>
      <w:r w:rsidR="005A3EF8">
        <w:t xml:space="preserve">: </w:t>
      </w:r>
      <w:r w:rsidR="0055204E">
        <w:t xml:space="preserve">Any day where an external entity performs an inspection on site. </w:t>
      </w:r>
      <w:r w:rsidR="00CD3114">
        <w:t>E.g. site visits, BSR, EH&amp;S safety inspection.</w:t>
      </w:r>
    </w:p>
    <w:p w14:paraId="7CA65E2C" w14:textId="3315DFB6" w:rsidR="00C14728" w:rsidRDefault="00C14728" w:rsidP="006A6FE6">
      <w:r>
        <w:t>Repair</w:t>
      </w:r>
      <w:r w:rsidR="005D7B84">
        <w:t>s</w:t>
      </w:r>
      <w:r>
        <w:t xml:space="preserve">: </w:t>
      </w:r>
      <w:r w:rsidR="00B83865">
        <w:t>Make note of a</w:t>
      </w:r>
      <w:r w:rsidR="003323D9">
        <w:t xml:space="preserve">ny day where the tracked resource is unavailable </w:t>
      </w:r>
      <w:r w:rsidR="000D7247">
        <w:t xml:space="preserve">to </w:t>
      </w:r>
      <w:proofErr w:type="gramStart"/>
      <w:r w:rsidR="000D7247">
        <w:t>users</w:t>
      </w:r>
      <w:proofErr w:type="gramEnd"/>
      <w:r w:rsidR="000D7247">
        <w:t xml:space="preserve"> </w:t>
      </w:r>
      <w:r w:rsidR="003323D9">
        <w:t xml:space="preserve">due to </w:t>
      </w:r>
      <w:r w:rsidR="00454220">
        <w:t xml:space="preserve">planned overhaul or emergency repairs. </w:t>
      </w:r>
      <w:r w:rsidR="00D66B46">
        <w:t xml:space="preserve">Tracking at the facility level might result in zero repair days even when </w:t>
      </w:r>
      <w:r w:rsidR="005D7B84">
        <w:t>major equipment is taken offline if users continue to work with other facility resources.</w:t>
      </w:r>
    </w:p>
    <w:p w14:paraId="0D5C23BB" w14:textId="7F1862E8" w:rsidR="00801B8A" w:rsidRDefault="00036152" w:rsidP="006A6FE6">
      <w:r>
        <w:t>Maintenance</w:t>
      </w:r>
      <w:r w:rsidR="00476AE3">
        <w:t xml:space="preserve">: </w:t>
      </w:r>
      <w:r w:rsidR="00FE65AF">
        <w:t>If you are tracking a</w:t>
      </w:r>
      <w:r w:rsidR="00F97B4D">
        <w:t>t</w:t>
      </w:r>
      <w:r w:rsidR="00FE65AF">
        <w:t xml:space="preserve"> the facility level it can be assumed that every work day includes maintenance activities. If you are tracking at the individual equipment level </w:t>
      </w:r>
      <w:r w:rsidR="00B56C37">
        <w:t>you can log that maintenance work was being performed</w:t>
      </w:r>
      <w:r w:rsidR="006879A1">
        <w:t>.</w:t>
      </w:r>
    </w:p>
    <w:p w14:paraId="1F05C793" w14:textId="4FA03566" w:rsidR="006879A1" w:rsidRPr="00DC2A42" w:rsidRDefault="0047529B" w:rsidP="006A6FE6">
      <w:pPr>
        <w:rPr>
          <w:b/>
          <w:bCs/>
        </w:rPr>
      </w:pPr>
      <w:r w:rsidRPr="00DC2A42">
        <w:rPr>
          <w:b/>
          <w:bCs/>
        </w:rPr>
        <w:t>Reporting:</w:t>
      </w:r>
    </w:p>
    <w:p w14:paraId="64B17529" w14:textId="6FA0E411" w:rsidR="006A1557" w:rsidRDefault="00602566" w:rsidP="006A6FE6">
      <w:r>
        <w:t>The following</w:t>
      </w:r>
      <w:r w:rsidR="00D31191">
        <w:t xml:space="preserve"> event logs should be reported as totals to reflect total engagement. </w:t>
      </w:r>
      <w:r w:rsidR="00EF3575">
        <w:t xml:space="preserve">Days are not exclusive, </w:t>
      </w:r>
      <w:r w:rsidR="006A1557">
        <w:t>five projects active on one day will be reported as five project days.</w:t>
      </w:r>
    </w:p>
    <w:p w14:paraId="502D7859" w14:textId="5E3CFD05" w:rsidR="0047529B" w:rsidRDefault="0047529B" w:rsidP="006A6FE6">
      <w:r>
        <w:t>Project Days:</w:t>
      </w:r>
    </w:p>
    <w:p w14:paraId="2EDDFE62" w14:textId="5DDCB227" w:rsidR="0047529B" w:rsidRDefault="0047529B" w:rsidP="006A6FE6">
      <w:r>
        <w:t>NSF Project Days</w:t>
      </w:r>
    </w:p>
    <w:p w14:paraId="76AB7016" w14:textId="78B4E7F3" w:rsidR="0047529B" w:rsidRDefault="00F97B4D" w:rsidP="006A6FE6">
      <w:r>
        <w:t>Non-</w:t>
      </w:r>
      <w:r w:rsidR="0047529B">
        <w:t>NSF Project Days</w:t>
      </w:r>
    </w:p>
    <w:p w14:paraId="4701D390" w14:textId="37C33F64" w:rsidR="0047529B" w:rsidRDefault="002D1144" w:rsidP="006A6FE6">
      <w:r>
        <w:lastRenderedPageBreak/>
        <w:t>Tours and event Days</w:t>
      </w:r>
    </w:p>
    <w:p w14:paraId="284E9DAE" w14:textId="687EB79F" w:rsidR="006A1557" w:rsidRDefault="00691592" w:rsidP="00691592">
      <w:r>
        <w:t xml:space="preserve">The event logs should be processed according to calendar days to generate the following calendar day events. </w:t>
      </w:r>
      <w:r w:rsidR="006A2C9C">
        <w:t>Reported d</w:t>
      </w:r>
      <w:r w:rsidR="006A1557">
        <w:t>ays are exclusive</w:t>
      </w:r>
      <w:r w:rsidR="00AD49F9">
        <w:t xml:space="preserve"> – each calendar day can be represented only once in the tally. The sum of these days should add to 365 (or 366) for the year.</w:t>
      </w:r>
    </w:p>
    <w:p w14:paraId="0116B1E4" w14:textId="77777777" w:rsidR="00691592" w:rsidRDefault="00691592" w:rsidP="00691592"/>
    <w:p w14:paraId="467FB300" w14:textId="280CA6D8" w:rsidR="007C5102" w:rsidRDefault="000407C1" w:rsidP="006A6FE6">
      <w:r w:rsidRPr="000407C1">
        <w:rPr>
          <w:noProof/>
        </w:rPr>
        <w:drawing>
          <wp:inline distT="0" distB="0" distL="0" distR="0" wp14:anchorId="6F4A9A80" wp14:editId="56D28391">
            <wp:extent cx="5944869" cy="44664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58983" cy="4477096"/>
                    </a:xfrm>
                    <a:prstGeom prst="rect">
                      <a:avLst/>
                    </a:prstGeom>
                    <a:noFill/>
                    <a:ln>
                      <a:noFill/>
                    </a:ln>
                  </pic:spPr>
                </pic:pic>
              </a:graphicData>
            </a:graphic>
          </wp:inline>
        </w:drawing>
      </w:r>
    </w:p>
    <w:p w14:paraId="06783E45" w14:textId="77777777" w:rsidR="007C5102" w:rsidRDefault="007C5102" w:rsidP="006A6FE6"/>
    <w:p w14:paraId="56FBB9FC" w14:textId="77777777" w:rsidR="00E4631F" w:rsidRDefault="00E4631F" w:rsidP="00E4631F">
      <w:pPr>
        <w:pStyle w:val="Heading1"/>
      </w:pPr>
    </w:p>
    <w:p w14:paraId="6B7E7F36" w14:textId="1C0716A0" w:rsidR="00E4631F" w:rsidRPr="00485238" w:rsidRDefault="00E4631F" w:rsidP="00E4631F">
      <w:pPr>
        <w:pStyle w:val="Heading1"/>
      </w:pPr>
      <w:r>
        <w:t>Strawman</w:t>
      </w:r>
      <w:r w:rsidRPr="00485238">
        <w:t xml:space="preserve"> implementation </w:t>
      </w:r>
      <w:r>
        <w:t>B</w:t>
      </w:r>
      <w:r>
        <w:t xml:space="preserve"> </w:t>
      </w:r>
      <w:r w:rsidRPr="00485238">
        <w:t>– throughput</w:t>
      </w:r>
    </w:p>
    <w:p w14:paraId="7CA079D8" w14:textId="47D3CCB6" w:rsidR="007C5102" w:rsidRDefault="006A2C9C" w:rsidP="006A6FE6">
      <w:r>
        <w:t xml:space="preserve">TBD – but basically each site </w:t>
      </w:r>
      <w:r w:rsidR="00D941A0">
        <w:t xml:space="preserve">uses their local business model / work breakdown structure to calculate utilization as a percentage of throughput divided by capacity. </w:t>
      </w:r>
      <w:r w:rsidR="00531279">
        <w:t>Common categories should be adopted.</w:t>
      </w:r>
    </w:p>
    <w:p w14:paraId="121AEBCA" w14:textId="77777777" w:rsidR="00E4631F" w:rsidRDefault="00E4631F" w:rsidP="006A6FE6">
      <w:pPr>
        <w:rPr>
          <w:b/>
        </w:rPr>
      </w:pPr>
    </w:p>
    <w:p w14:paraId="2DD465CC" w14:textId="77777777" w:rsidR="00E4631F" w:rsidRDefault="00E4631F" w:rsidP="006A6FE6">
      <w:pPr>
        <w:rPr>
          <w:b/>
        </w:rPr>
      </w:pPr>
    </w:p>
    <w:p w14:paraId="48520C8A" w14:textId="77777777" w:rsidR="00E4631F" w:rsidRDefault="00E4631F" w:rsidP="006A6FE6">
      <w:pPr>
        <w:rPr>
          <w:b/>
        </w:rPr>
      </w:pPr>
    </w:p>
    <w:p w14:paraId="0EB7E446" w14:textId="7452F69B" w:rsidR="00E4631F" w:rsidRPr="00485238" w:rsidRDefault="00E4631F" w:rsidP="00E4631F">
      <w:pPr>
        <w:pStyle w:val="Heading1"/>
      </w:pPr>
      <w:r>
        <w:lastRenderedPageBreak/>
        <w:t>Other Reporting Metrics:</w:t>
      </w:r>
    </w:p>
    <w:p w14:paraId="4688C94D" w14:textId="34F8A218" w:rsidR="00111843" w:rsidRPr="00111843" w:rsidRDefault="00111843" w:rsidP="006A6FE6">
      <w:r>
        <w:t>In addition to the proposed utilization metrics outlined above, we propose to gather the following metrics that will show the network wide user base and the projects that they are engaged in. We are following the similar model to the research ship fleet, tracking users, their characteristics, and the projects they are involved in so that further cross-examination and analysis of our user base can be done as needed.</w:t>
      </w:r>
    </w:p>
    <w:p w14:paraId="32DC073C" w14:textId="77777777" w:rsidR="00111843" w:rsidRPr="003771F5" w:rsidRDefault="00111843" w:rsidP="00111843">
      <w:pPr>
        <w:pStyle w:val="paragraph"/>
        <w:spacing w:before="0" w:beforeAutospacing="0" w:after="0" w:afterAutospacing="0"/>
        <w:textAlignment w:val="baseline"/>
        <w:rPr>
          <w:rStyle w:val="normaltextrun"/>
          <w:rFonts w:asciiTheme="minorHAnsi" w:hAnsiTheme="minorHAnsi" w:cstheme="minorHAnsi"/>
          <w:b/>
          <w:bCs/>
          <w:sz w:val="22"/>
          <w:szCs w:val="22"/>
        </w:rPr>
      </w:pPr>
      <w:r w:rsidRPr="003771F5">
        <w:rPr>
          <w:rStyle w:val="normaltextrun"/>
          <w:rFonts w:asciiTheme="minorHAnsi" w:hAnsiTheme="minorHAnsi" w:cstheme="minorHAnsi"/>
          <w:b/>
          <w:bCs/>
          <w:sz w:val="22"/>
          <w:szCs w:val="22"/>
        </w:rPr>
        <w:t>USER</w:t>
      </w:r>
    </w:p>
    <w:p w14:paraId="3E0E4E7B" w14:textId="77777777" w:rsidR="00111843" w:rsidRPr="003771F5" w:rsidRDefault="00111843" w:rsidP="00111843">
      <w:pPr>
        <w:pStyle w:val="paragraph"/>
        <w:spacing w:before="0" w:beforeAutospacing="0" w:after="0" w:afterAutospacing="0"/>
        <w:ind w:left="390"/>
        <w:textAlignment w:val="baseline"/>
        <w:rPr>
          <w:rStyle w:val="normaltextrun"/>
          <w:rFonts w:asciiTheme="minorHAnsi" w:hAnsiTheme="minorHAnsi" w:cstheme="minorHAnsi"/>
          <w:b/>
          <w:bCs/>
          <w:sz w:val="22"/>
          <w:szCs w:val="22"/>
        </w:rPr>
      </w:pPr>
    </w:p>
    <w:p w14:paraId="45E59BAD" w14:textId="77777777" w:rsidR="00111843" w:rsidRDefault="00111843" w:rsidP="00111843">
      <w:pPr>
        <w:pStyle w:val="paragraph"/>
        <w:spacing w:before="0" w:beforeAutospacing="0" w:after="0" w:afterAutospacing="0"/>
        <w:textAlignment w:val="baseline"/>
        <w:rPr>
          <w:rStyle w:val="normaltextrun"/>
          <w:rFonts w:asciiTheme="minorHAnsi" w:hAnsiTheme="minorHAnsi" w:cstheme="minorHAnsi"/>
          <w:sz w:val="22"/>
          <w:szCs w:val="22"/>
        </w:rPr>
      </w:pPr>
      <w:r w:rsidRPr="003771F5">
        <w:rPr>
          <w:rStyle w:val="normaltextrun"/>
          <w:rFonts w:asciiTheme="minorHAnsi" w:hAnsiTheme="minorHAnsi" w:cstheme="minorHAnsi"/>
          <w:b/>
          <w:bCs/>
          <w:sz w:val="22"/>
          <w:szCs w:val="22"/>
        </w:rPr>
        <w:t>EF Lab User</w:t>
      </w:r>
      <w:r w:rsidRPr="003771F5">
        <w:rPr>
          <w:rStyle w:val="normaltextrun"/>
          <w:rFonts w:asciiTheme="minorHAnsi" w:hAnsiTheme="minorHAnsi" w:cstheme="minorHAnsi"/>
          <w:sz w:val="22"/>
          <w:szCs w:val="22"/>
        </w:rPr>
        <w:t xml:space="preserve"> (as opposed to a data user, etc.): someone who works </w:t>
      </w:r>
      <w:r>
        <w:rPr>
          <w:rStyle w:val="normaltextrun"/>
          <w:rFonts w:asciiTheme="minorHAnsi" w:hAnsiTheme="minorHAnsi" w:cstheme="minorHAnsi"/>
          <w:sz w:val="22"/>
          <w:szCs w:val="22"/>
        </w:rPr>
        <w:t xml:space="preserve">(or has worked) </w:t>
      </w:r>
      <w:r w:rsidRPr="003771F5">
        <w:rPr>
          <w:rStyle w:val="normaltextrun"/>
          <w:rFonts w:asciiTheme="minorHAnsi" w:hAnsiTheme="minorHAnsi" w:cstheme="minorHAnsi"/>
          <w:sz w:val="22"/>
          <w:szCs w:val="22"/>
        </w:rPr>
        <w:t>in the lab (or supervises work in the lab – </w:t>
      </w:r>
      <w:proofErr w:type="spellStart"/>
      <w:r w:rsidRPr="003771F5">
        <w:rPr>
          <w:rStyle w:val="spellingerror"/>
          <w:rFonts w:asciiTheme="minorHAnsi" w:hAnsiTheme="minorHAnsi" w:cstheme="minorHAnsi"/>
          <w:sz w:val="22"/>
          <w:szCs w:val="22"/>
        </w:rPr>
        <w:t>ie</w:t>
      </w:r>
      <w:proofErr w:type="spellEnd"/>
      <w:r w:rsidRPr="003771F5">
        <w:rPr>
          <w:rStyle w:val="normaltextrun"/>
          <w:rFonts w:asciiTheme="minorHAnsi" w:hAnsiTheme="minorHAnsi" w:cstheme="minorHAnsi"/>
          <w:sz w:val="22"/>
          <w:szCs w:val="22"/>
        </w:rPr>
        <w:t> remote PI), who is using physical resources on site or remote. This user</w:t>
      </w:r>
      <w:r>
        <w:rPr>
          <w:rStyle w:val="normaltextrun"/>
          <w:rFonts w:asciiTheme="minorHAnsi" w:hAnsiTheme="minorHAnsi" w:cstheme="minorHAnsi"/>
          <w:sz w:val="22"/>
          <w:szCs w:val="22"/>
        </w:rPr>
        <w:t xml:space="preserve"> has characteristics – (ORCID</w:t>
      </w:r>
      <w:r w:rsidRPr="003771F5">
        <w:rPr>
          <w:rStyle w:val="normaltextrun"/>
          <w:rFonts w:asciiTheme="minorHAnsi" w:hAnsiTheme="minorHAnsi" w:cstheme="minorHAnsi"/>
          <w:sz w:val="22"/>
          <w:szCs w:val="22"/>
        </w:rPr>
        <w:t>) Name, role (grad student, postdoc, PI, etc.), project, demographic info, etc.</w:t>
      </w:r>
    </w:p>
    <w:p w14:paraId="14921145" w14:textId="77777777" w:rsidR="00111843" w:rsidRDefault="00111843" w:rsidP="00111843">
      <w:pPr>
        <w:pStyle w:val="paragraph"/>
        <w:spacing w:before="0" w:beforeAutospacing="0" w:after="0" w:afterAutospacing="0"/>
        <w:ind w:left="720"/>
        <w:textAlignment w:val="baseline"/>
        <w:rPr>
          <w:rStyle w:val="normaltextrun"/>
          <w:rFonts w:asciiTheme="minorHAnsi" w:hAnsiTheme="minorHAnsi" w:cstheme="minorHAnsi"/>
          <w:sz w:val="22"/>
          <w:szCs w:val="22"/>
        </w:rPr>
      </w:pPr>
    </w:p>
    <w:p w14:paraId="42AD3A3D" w14:textId="77777777" w:rsidR="00111843" w:rsidRDefault="00111843" w:rsidP="00111843">
      <w:pPr>
        <w:pStyle w:val="paragraph"/>
        <w:spacing w:before="0" w:beforeAutospacing="0" w:after="0" w:afterAutospacing="0"/>
        <w:ind w:left="72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For example, we do not count technicians, analysts, etc. as users.</w:t>
      </w:r>
    </w:p>
    <w:p w14:paraId="3940309E" w14:textId="33C1D6E4" w:rsidR="00111843" w:rsidRPr="003771F5" w:rsidRDefault="00111843" w:rsidP="00C203A8">
      <w:pPr>
        <w:pStyle w:val="paragraph"/>
        <w:spacing w:before="0" w:beforeAutospacing="0" w:after="0" w:afterAutospacing="0"/>
        <w:ind w:left="720"/>
        <w:textAlignment w:val="baseline"/>
        <w:rPr>
          <w:rFonts w:asciiTheme="minorHAnsi" w:hAnsiTheme="minorHAnsi" w:cstheme="minorHAnsi"/>
          <w:sz w:val="22"/>
          <w:szCs w:val="22"/>
        </w:rPr>
      </w:pPr>
      <w:r>
        <w:rPr>
          <w:rStyle w:val="normaltextrun"/>
          <w:rFonts w:asciiTheme="minorHAnsi" w:hAnsiTheme="minorHAnsi" w:cstheme="minorHAnsi"/>
          <w:sz w:val="22"/>
          <w:szCs w:val="22"/>
        </w:rPr>
        <w:t xml:space="preserve"> </w:t>
      </w:r>
      <w:r w:rsidRPr="003771F5">
        <w:rPr>
          <w:rStyle w:val="normaltextrun"/>
          <w:rFonts w:asciiTheme="minorHAnsi" w:hAnsiTheme="minorHAnsi" w:cstheme="minorHAnsi"/>
          <w:sz w:val="22"/>
          <w:szCs w:val="22"/>
        </w:rPr>
        <w:t xml:space="preserve">  </w:t>
      </w:r>
      <w:r w:rsidRPr="003771F5">
        <w:rPr>
          <w:rFonts w:asciiTheme="minorHAnsi" w:hAnsiTheme="minorHAnsi" w:cstheme="minorHAnsi"/>
          <w:sz w:val="22"/>
          <w:szCs w:val="22"/>
        </w:rPr>
        <w:tab/>
      </w:r>
    </w:p>
    <w:p w14:paraId="6E95DD76" w14:textId="4B8F3EB6" w:rsidR="00111843" w:rsidRDefault="00111843" w:rsidP="00111843">
      <w:pPr>
        <w:pStyle w:val="paragraph"/>
        <w:spacing w:before="0" w:beforeAutospacing="0" w:after="0" w:afterAutospacing="0"/>
        <w:ind w:left="720"/>
        <w:textAlignment w:val="baseline"/>
        <w:rPr>
          <w:rStyle w:val="eop"/>
          <w:rFonts w:asciiTheme="minorHAnsi" w:hAnsiTheme="minorHAnsi" w:cstheme="minorHAnsi"/>
          <w:sz w:val="22"/>
          <w:szCs w:val="22"/>
        </w:rPr>
      </w:pPr>
      <w:r w:rsidRPr="003771F5">
        <w:rPr>
          <w:rStyle w:val="normaltextrun"/>
          <w:rFonts w:asciiTheme="minorHAnsi" w:hAnsiTheme="minorHAnsi" w:cstheme="minorHAnsi"/>
          <w:sz w:val="22"/>
          <w:szCs w:val="22"/>
        </w:rPr>
        <w:t>Cross reference projects to enumerate NSF user, </w:t>
      </w:r>
      <w:r w:rsidRPr="003771F5">
        <w:rPr>
          <w:rStyle w:val="contextualspellingandgrammarerror"/>
          <w:rFonts w:asciiTheme="minorHAnsi" w:hAnsiTheme="minorHAnsi" w:cstheme="minorHAnsi"/>
          <w:sz w:val="22"/>
          <w:szCs w:val="22"/>
        </w:rPr>
        <w:t>n</w:t>
      </w:r>
      <w:r w:rsidR="00DF44A3">
        <w:rPr>
          <w:rStyle w:val="contextualspellingandgrammarerror"/>
          <w:rFonts w:asciiTheme="minorHAnsi" w:hAnsiTheme="minorHAnsi" w:cstheme="minorHAnsi"/>
          <w:sz w:val="22"/>
          <w:szCs w:val="22"/>
        </w:rPr>
        <w:t>on-</w:t>
      </w:r>
      <w:bookmarkStart w:id="0" w:name="_GoBack"/>
      <w:bookmarkEnd w:id="0"/>
      <w:r w:rsidRPr="003771F5">
        <w:rPr>
          <w:rStyle w:val="contextualspellingandgrammarerror"/>
          <w:rFonts w:asciiTheme="minorHAnsi" w:hAnsiTheme="minorHAnsi" w:cstheme="minorHAnsi"/>
          <w:sz w:val="22"/>
          <w:szCs w:val="22"/>
        </w:rPr>
        <w:t>NSF</w:t>
      </w:r>
      <w:r w:rsidRPr="003771F5">
        <w:rPr>
          <w:rStyle w:val="normaltextrun"/>
          <w:rFonts w:asciiTheme="minorHAnsi" w:hAnsiTheme="minorHAnsi" w:cstheme="minorHAnsi"/>
          <w:sz w:val="22"/>
          <w:szCs w:val="22"/>
        </w:rPr>
        <w:t xml:space="preserve"> user, repeat user. </w:t>
      </w:r>
    </w:p>
    <w:p w14:paraId="065DDD53" w14:textId="77777777" w:rsidR="00111843" w:rsidRDefault="00111843" w:rsidP="00111843">
      <w:pPr>
        <w:pStyle w:val="paragraph"/>
        <w:spacing w:before="0" w:beforeAutospacing="0" w:after="0" w:afterAutospacing="0"/>
        <w:ind w:left="720"/>
        <w:textAlignment w:val="baseline"/>
        <w:rPr>
          <w:rFonts w:asciiTheme="minorHAnsi" w:hAnsiTheme="minorHAnsi" w:cstheme="minorHAnsi"/>
          <w:sz w:val="22"/>
          <w:szCs w:val="22"/>
        </w:rPr>
      </w:pPr>
    </w:p>
    <w:p w14:paraId="5A006A87" w14:textId="77777777" w:rsidR="00111843" w:rsidRDefault="00111843" w:rsidP="00111843">
      <w:pPr>
        <w:pStyle w:val="paragraph"/>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HAnsi"/>
          <w:sz w:val="22"/>
          <w:szCs w:val="22"/>
        </w:rPr>
        <w:t xml:space="preserve">Quarterly- report total NSF users for the award, and new NSF users for that quarter. </w:t>
      </w:r>
    </w:p>
    <w:p w14:paraId="25675D12" w14:textId="2E46CB63" w:rsidR="00111843" w:rsidRPr="003771F5" w:rsidRDefault="00111843" w:rsidP="00C203A8">
      <w:pPr>
        <w:pStyle w:val="paragraph"/>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HAnsi"/>
          <w:sz w:val="22"/>
          <w:szCs w:val="22"/>
        </w:rPr>
        <w:t>Optional – report non-NSF users for the award and new non-NSF users for that quarter</w:t>
      </w:r>
    </w:p>
    <w:p w14:paraId="096A36D0" w14:textId="77777777" w:rsidR="00111843" w:rsidRPr="003771F5" w:rsidRDefault="00111843" w:rsidP="00111843">
      <w:pPr>
        <w:pStyle w:val="paragraph"/>
        <w:spacing w:before="0" w:beforeAutospacing="0" w:after="0" w:afterAutospacing="0"/>
        <w:ind w:left="390"/>
        <w:textAlignment w:val="baseline"/>
        <w:rPr>
          <w:rFonts w:asciiTheme="minorHAnsi" w:hAnsiTheme="minorHAnsi" w:cstheme="minorHAnsi"/>
          <w:sz w:val="22"/>
          <w:szCs w:val="22"/>
        </w:rPr>
      </w:pPr>
    </w:p>
    <w:p w14:paraId="4AC570AD" w14:textId="77777777" w:rsidR="00111843" w:rsidRPr="003771F5" w:rsidRDefault="00111843" w:rsidP="00111843">
      <w:pPr>
        <w:pStyle w:val="paragraph"/>
        <w:spacing w:before="0" w:beforeAutospacing="0" w:after="0" w:afterAutospacing="0"/>
        <w:ind w:left="390"/>
        <w:textAlignment w:val="baseline"/>
        <w:rPr>
          <w:rFonts w:asciiTheme="minorHAnsi" w:hAnsiTheme="minorHAnsi" w:cstheme="minorHAnsi"/>
          <w:sz w:val="22"/>
          <w:szCs w:val="22"/>
        </w:rPr>
      </w:pPr>
    </w:p>
    <w:p w14:paraId="13806FA5" w14:textId="77777777" w:rsidR="00111843" w:rsidRDefault="00111843" w:rsidP="00111843">
      <w:pPr>
        <w:pStyle w:val="paragraph"/>
        <w:spacing w:before="0" w:beforeAutospacing="0" w:after="0" w:afterAutospacing="0"/>
        <w:textAlignment w:val="baseline"/>
        <w:rPr>
          <w:rStyle w:val="normaltextrun"/>
          <w:rFonts w:asciiTheme="minorHAnsi" w:hAnsiTheme="minorHAnsi" w:cstheme="minorHAnsi"/>
          <w:b/>
          <w:bCs/>
          <w:sz w:val="22"/>
          <w:szCs w:val="22"/>
        </w:rPr>
      </w:pPr>
      <w:r>
        <w:rPr>
          <w:rStyle w:val="normaltextrun"/>
          <w:rFonts w:asciiTheme="minorHAnsi" w:hAnsiTheme="minorHAnsi" w:cstheme="minorHAnsi"/>
          <w:b/>
          <w:bCs/>
          <w:sz w:val="22"/>
          <w:szCs w:val="22"/>
        </w:rPr>
        <w:t>Sponsor Awards</w:t>
      </w:r>
    </w:p>
    <w:p w14:paraId="4147DBC4" w14:textId="77777777" w:rsidR="00111843" w:rsidRDefault="00111843" w:rsidP="00111843">
      <w:pPr>
        <w:pStyle w:val="paragraph"/>
        <w:spacing w:before="0" w:beforeAutospacing="0" w:after="0" w:afterAutospacing="0"/>
        <w:ind w:left="390"/>
        <w:textAlignment w:val="baseline"/>
        <w:rPr>
          <w:rStyle w:val="normaltextrun"/>
          <w:rFonts w:asciiTheme="minorHAnsi" w:hAnsiTheme="minorHAnsi" w:cstheme="minorHAnsi"/>
          <w:bCs/>
          <w:sz w:val="22"/>
          <w:szCs w:val="22"/>
        </w:rPr>
      </w:pPr>
      <w:r>
        <w:rPr>
          <w:rStyle w:val="normaltextrun"/>
          <w:rFonts w:asciiTheme="minorHAnsi" w:hAnsiTheme="minorHAnsi" w:cstheme="minorHAnsi"/>
          <w:bCs/>
          <w:sz w:val="22"/>
          <w:szCs w:val="22"/>
        </w:rPr>
        <w:t>Number of awards from different sponsors, distinguished by funding agency or source.</w:t>
      </w:r>
    </w:p>
    <w:p w14:paraId="38C7FAA6" w14:textId="77777777" w:rsidR="00F97B4D" w:rsidRPr="006761D0" w:rsidRDefault="00F97B4D" w:rsidP="00111843">
      <w:pPr>
        <w:pStyle w:val="paragraph"/>
        <w:spacing w:before="0" w:beforeAutospacing="0" w:after="0" w:afterAutospacing="0"/>
        <w:ind w:left="390"/>
        <w:textAlignment w:val="baseline"/>
        <w:rPr>
          <w:rStyle w:val="normaltextrun"/>
          <w:rFonts w:asciiTheme="minorHAnsi" w:hAnsiTheme="minorHAnsi" w:cstheme="minorHAnsi"/>
          <w:bCs/>
          <w:sz w:val="22"/>
          <w:szCs w:val="22"/>
        </w:rPr>
      </w:pPr>
    </w:p>
    <w:p w14:paraId="7CC6CB56" w14:textId="77777777" w:rsidR="00111843" w:rsidRDefault="00111843" w:rsidP="00111843">
      <w:pPr>
        <w:pStyle w:val="paragraph"/>
        <w:spacing w:before="0" w:beforeAutospacing="0" w:after="0" w:afterAutospacing="0"/>
        <w:ind w:left="390"/>
        <w:textAlignment w:val="baseline"/>
        <w:rPr>
          <w:rStyle w:val="normaltextrun"/>
          <w:rFonts w:asciiTheme="minorHAnsi" w:hAnsiTheme="minorHAnsi" w:cstheme="minorHAnsi"/>
          <w:b/>
          <w:bCs/>
          <w:sz w:val="22"/>
          <w:szCs w:val="22"/>
        </w:rPr>
      </w:pPr>
    </w:p>
    <w:p w14:paraId="717399FA" w14:textId="77777777" w:rsidR="00111843" w:rsidRPr="003771F5" w:rsidRDefault="00111843" w:rsidP="00111843">
      <w:pPr>
        <w:pStyle w:val="paragraph"/>
        <w:spacing w:before="0" w:beforeAutospacing="0" w:after="0" w:afterAutospacing="0"/>
        <w:textAlignment w:val="baseline"/>
        <w:rPr>
          <w:rStyle w:val="normaltextrun"/>
          <w:rFonts w:asciiTheme="minorHAnsi" w:hAnsiTheme="minorHAnsi" w:cstheme="minorHAnsi"/>
          <w:b/>
          <w:bCs/>
          <w:sz w:val="22"/>
          <w:szCs w:val="22"/>
        </w:rPr>
      </w:pPr>
      <w:r w:rsidRPr="003771F5">
        <w:rPr>
          <w:rStyle w:val="normaltextrun"/>
          <w:rFonts w:asciiTheme="minorHAnsi" w:hAnsiTheme="minorHAnsi" w:cstheme="minorHAnsi"/>
          <w:b/>
          <w:bCs/>
          <w:sz w:val="22"/>
          <w:szCs w:val="22"/>
        </w:rPr>
        <w:t>PROJECT</w:t>
      </w:r>
    </w:p>
    <w:p w14:paraId="48CC6179" w14:textId="4448EBD0" w:rsidR="00111843" w:rsidRDefault="00111843" w:rsidP="00111843">
      <w:r w:rsidRPr="003771F5">
        <w:rPr>
          <w:rStyle w:val="normaltextrun"/>
          <w:rFonts w:cstheme="minorHAnsi"/>
        </w:rPr>
        <w:t xml:space="preserve">A project is a </w:t>
      </w:r>
      <w:r w:rsidR="00F97B4D">
        <w:rPr>
          <w:rStyle w:val="normaltextrun"/>
          <w:rFonts w:cstheme="minorHAnsi"/>
        </w:rPr>
        <w:t xml:space="preserve">coordinated research activity </w:t>
      </w:r>
      <w:r w:rsidRPr="003771F5">
        <w:rPr>
          <w:rStyle w:val="normaltextrun"/>
          <w:rFonts w:cstheme="minorHAnsi"/>
        </w:rPr>
        <w:t>(or a single RAPID deployment), run by a team of users. </w:t>
      </w:r>
      <w:proofErr w:type="spellStart"/>
      <w:r w:rsidRPr="003771F5">
        <w:rPr>
          <w:rStyle w:val="spellingerror"/>
          <w:rFonts w:cstheme="minorHAnsi"/>
        </w:rPr>
        <w:t>xEER</w:t>
      </w:r>
      <w:proofErr w:type="spellEnd"/>
      <w:r w:rsidRPr="003771F5">
        <w:rPr>
          <w:rStyle w:val="normaltextrun"/>
          <w:rFonts w:cstheme="minorHAnsi"/>
        </w:rPr>
        <w:t> deployments are counted individually.</w:t>
      </w:r>
      <w:r w:rsidRPr="003771F5">
        <w:rPr>
          <w:rStyle w:val="eop"/>
          <w:rFonts w:cstheme="minorHAnsi"/>
        </w:rPr>
        <w:t> </w:t>
      </w:r>
    </w:p>
    <w:sectPr w:rsidR="00111843">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9A40C" w14:textId="77777777" w:rsidR="00345CBA" w:rsidRDefault="00345CBA" w:rsidP="007725BF">
      <w:pPr>
        <w:spacing w:after="0" w:line="240" w:lineRule="auto"/>
      </w:pPr>
      <w:r>
        <w:separator/>
      </w:r>
    </w:p>
  </w:endnote>
  <w:endnote w:type="continuationSeparator" w:id="0">
    <w:p w14:paraId="037761CF" w14:textId="77777777" w:rsidR="00345CBA" w:rsidRDefault="00345CBA" w:rsidP="00772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4368B" w14:textId="50663F14" w:rsidR="007725BF" w:rsidRDefault="00607431" w:rsidP="00607431">
    <w:pPr>
      <w:pStyle w:val="Footer"/>
      <w:jc w:val="right"/>
    </w:pPr>
    <w:r>
      <w:t xml:space="preserve">NHERI </w:t>
    </w:r>
    <w:r w:rsidR="007725BF">
      <w:t xml:space="preserve">Uniform </w:t>
    </w:r>
    <w:r w:rsidR="00C618AD">
      <w:t>Metrics</w:t>
    </w:r>
    <w:r w:rsidR="007725BF">
      <w:t xml:space="preserve"> Version 1.0</w:t>
    </w:r>
  </w:p>
  <w:p w14:paraId="466F57CE" w14:textId="03A27337" w:rsidR="00607431" w:rsidRDefault="00C618AD" w:rsidP="00607431">
    <w:pPr>
      <w:pStyle w:val="Footer"/>
      <w:jc w:val="right"/>
    </w:pPr>
    <w:r>
      <w:t>10</w:t>
    </w:r>
    <w:r w:rsidR="00607431">
      <w:t>/</w:t>
    </w:r>
    <w:r>
      <w:t>1</w:t>
    </w:r>
    <w:r w:rsidR="00607431">
      <w:t>/2019</w:t>
    </w:r>
  </w:p>
  <w:p w14:paraId="3EA69AA5" w14:textId="4B2C077B" w:rsidR="00607431" w:rsidRDefault="00607431" w:rsidP="00607431">
    <w:pPr>
      <w:pStyle w:val="Footer"/>
      <w:jc w:val="right"/>
    </w:pPr>
    <w:r>
      <w:t xml:space="preserve">Page </w:t>
    </w:r>
    <w:r>
      <w:rPr>
        <w:b/>
        <w:bCs/>
      </w:rPr>
      <w:fldChar w:fldCharType="begin"/>
    </w:r>
    <w:r>
      <w:rPr>
        <w:b/>
        <w:bCs/>
      </w:rPr>
      <w:instrText xml:space="preserve"> PAGE  \* Arabic  \* MERGEFORMAT </w:instrText>
    </w:r>
    <w:r>
      <w:rPr>
        <w:b/>
        <w:bCs/>
      </w:rPr>
      <w:fldChar w:fldCharType="separate"/>
    </w:r>
    <w:r w:rsidR="00DF44A3">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DF44A3">
      <w:rPr>
        <w:b/>
        <w:bCs/>
        <w:noProof/>
      </w:rPr>
      <w:t>5</w:t>
    </w:r>
    <w:r>
      <w:rPr>
        <w:b/>
        <w:bCs/>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1F6C4B" w14:textId="77777777" w:rsidR="00345CBA" w:rsidRDefault="00345CBA" w:rsidP="007725BF">
      <w:pPr>
        <w:spacing w:after="0" w:line="240" w:lineRule="auto"/>
      </w:pPr>
      <w:r>
        <w:separator/>
      </w:r>
    </w:p>
  </w:footnote>
  <w:footnote w:type="continuationSeparator" w:id="0">
    <w:p w14:paraId="02D11C26" w14:textId="77777777" w:rsidR="00345CBA" w:rsidRDefault="00345CBA" w:rsidP="007725B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B76CB9"/>
    <w:multiLevelType w:val="hybridMultilevel"/>
    <w:tmpl w:val="D3DE7886"/>
    <w:lvl w:ilvl="0" w:tplc="3C5AD728">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1B4D80"/>
    <w:multiLevelType w:val="hybridMultilevel"/>
    <w:tmpl w:val="EC7E2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DE3"/>
    <w:rsid w:val="0001220C"/>
    <w:rsid w:val="000267DC"/>
    <w:rsid w:val="00036152"/>
    <w:rsid w:val="000407C1"/>
    <w:rsid w:val="0005515F"/>
    <w:rsid w:val="0007495D"/>
    <w:rsid w:val="00090889"/>
    <w:rsid w:val="000924EB"/>
    <w:rsid w:val="000963E2"/>
    <w:rsid w:val="000A301D"/>
    <w:rsid w:val="000B3FB3"/>
    <w:rsid w:val="000B4C9A"/>
    <w:rsid w:val="000D1148"/>
    <w:rsid w:val="000D7247"/>
    <w:rsid w:val="000F16C3"/>
    <w:rsid w:val="000F263F"/>
    <w:rsid w:val="000F7379"/>
    <w:rsid w:val="00111843"/>
    <w:rsid w:val="00113963"/>
    <w:rsid w:val="00124394"/>
    <w:rsid w:val="00165098"/>
    <w:rsid w:val="001707BC"/>
    <w:rsid w:val="00180862"/>
    <w:rsid w:val="00185A29"/>
    <w:rsid w:val="001874BB"/>
    <w:rsid w:val="001A79A7"/>
    <w:rsid w:val="001B5BF0"/>
    <w:rsid w:val="001E13AC"/>
    <w:rsid w:val="001F451C"/>
    <w:rsid w:val="00215D49"/>
    <w:rsid w:val="002B1759"/>
    <w:rsid w:val="002C0454"/>
    <w:rsid w:val="002C0C24"/>
    <w:rsid w:val="002D1144"/>
    <w:rsid w:val="002D14C5"/>
    <w:rsid w:val="002D7434"/>
    <w:rsid w:val="0030560A"/>
    <w:rsid w:val="003323D9"/>
    <w:rsid w:val="00334A5E"/>
    <w:rsid w:val="00336721"/>
    <w:rsid w:val="00345CBA"/>
    <w:rsid w:val="003537FA"/>
    <w:rsid w:val="003642EA"/>
    <w:rsid w:val="00397741"/>
    <w:rsid w:val="003A11B7"/>
    <w:rsid w:val="003B4455"/>
    <w:rsid w:val="003B6B6C"/>
    <w:rsid w:val="003D0E42"/>
    <w:rsid w:val="003D7B2C"/>
    <w:rsid w:val="003F79F8"/>
    <w:rsid w:val="00415FBE"/>
    <w:rsid w:val="00424249"/>
    <w:rsid w:val="00451F94"/>
    <w:rsid w:val="00452A70"/>
    <w:rsid w:val="00453B4E"/>
    <w:rsid w:val="00454220"/>
    <w:rsid w:val="00473FF5"/>
    <w:rsid w:val="0047529B"/>
    <w:rsid w:val="00476AE3"/>
    <w:rsid w:val="00485238"/>
    <w:rsid w:val="004859E8"/>
    <w:rsid w:val="004B42A2"/>
    <w:rsid w:val="004D6757"/>
    <w:rsid w:val="00514458"/>
    <w:rsid w:val="00531279"/>
    <w:rsid w:val="0055204E"/>
    <w:rsid w:val="00556554"/>
    <w:rsid w:val="00570311"/>
    <w:rsid w:val="00576FCC"/>
    <w:rsid w:val="0058340E"/>
    <w:rsid w:val="005912CD"/>
    <w:rsid w:val="005A3EF8"/>
    <w:rsid w:val="005A6416"/>
    <w:rsid w:val="005B3091"/>
    <w:rsid w:val="005D7B84"/>
    <w:rsid w:val="00602566"/>
    <w:rsid w:val="00607431"/>
    <w:rsid w:val="00612F9A"/>
    <w:rsid w:val="006740D2"/>
    <w:rsid w:val="00680C02"/>
    <w:rsid w:val="00684082"/>
    <w:rsid w:val="006879A1"/>
    <w:rsid w:val="00691592"/>
    <w:rsid w:val="00694B9F"/>
    <w:rsid w:val="006A0306"/>
    <w:rsid w:val="006A1557"/>
    <w:rsid w:val="006A2C9C"/>
    <w:rsid w:val="006A6FE6"/>
    <w:rsid w:val="006B0BAF"/>
    <w:rsid w:val="006D7C6B"/>
    <w:rsid w:val="006F14E7"/>
    <w:rsid w:val="006F1BBA"/>
    <w:rsid w:val="00701879"/>
    <w:rsid w:val="00746FBA"/>
    <w:rsid w:val="007725BF"/>
    <w:rsid w:val="007815BD"/>
    <w:rsid w:val="007926DC"/>
    <w:rsid w:val="007B335C"/>
    <w:rsid w:val="007B5A5A"/>
    <w:rsid w:val="007C5102"/>
    <w:rsid w:val="007E17D3"/>
    <w:rsid w:val="00800CF3"/>
    <w:rsid w:val="00801B8A"/>
    <w:rsid w:val="00811FB3"/>
    <w:rsid w:val="00834189"/>
    <w:rsid w:val="0084012D"/>
    <w:rsid w:val="0087267E"/>
    <w:rsid w:val="00873DE3"/>
    <w:rsid w:val="008804D1"/>
    <w:rsid w:val="00880F87"/>
    <w:rsid w:val="0088187C"/>
    <w:rsid w:val="008907F3"/>
    <w:rsid w:val="008A5CD3"/>
    <w:rsid w:val="008C2699"/>
    <w:rsid w:val="008C3691"/>
    <w:rsid w:val="008D60C4"/>
    <w:rsid w:val="008E0244"/>
    <w:rsid w:val="00933940"/>
    <w:rsid w:val="009549F1"/>
    <w:rsid w:val="0095565D"/>
    <w:rsid w:val="00991AF3"/>
    <w:rsid w:val="009964F1"/>
    <w:rsid w:val="00997279"/>
    <w:rsid w:val="009B7B50"/>
    <w:rsid w:val="009C7848"/>
    <w:rsid w:val="009D376C"/>
    <w:rsid w:val="009F5946"/>
    <w:rsid w:val="00A06C7E"/>
    <w:rsid w:val="00A17357"/>
    <w:rsid w:val="00A67A12"/>
    <w:rsid w:val="00A93C72"/>
    <w:rsid w:val="00A96D87"/>
    <w:rsid w:val="00AA562B"/>
    <w:rsid w:val="00AC3D95"/>
    <w:rsid w:val="00AD0859"/>
    <w:rsid w:val="00AD49F9"/>
    <w:rsid w:val="00AD52D2"/>
    <w:rsid w:val="00AE6891"/>
    <w:rsid w:val="00B02B0A"/>
    <w:rsid w:val="00B152AE"/>
    <w:rsid w:val="00B345A4"/>
    <w:rsid w:val="00B56C37"/>
    <w:rsid w:val="00B81CB0"/>
    <w:rsid w:val="00B83865"/>
    <w:rsid w:val="00B872FF"/>
    <w:rsid w:val="00B90C72"/>
    <w:rsid w:val="00BE7F7B"/>
    <w:rsid w:val="00BF57B0"/>
    <w:rsid w:val="00C11D82"/>
    <w:rsid w:val="00C14728"/>
    <w:rsid w:val="00C203A8"/>
    <w:rsid w:val="00C44347"/>
    <w:rsid w:val="00C618AD"/>
    <w:rsid w:val="00C7127A"/>
    <w:rsid w:val="00C7405E"/>
    <w:rsid w:val="00C84CB0"/>
    <w:rsid w:val="00C96F68"/>
    <w:rsid w:val="00CB2634"/>
    <w:rsid w:val="00CB596E"/>
    <w:rsid w:val="00CC3D89"/>
    <w:rsid w:val="00CD285F"/>
    <w:rsid w:val="00CD3114"/>
    <w:rsid w:val="00CF6C9E"/>
    <w:rsid w:val="00D0454A"/>
    <w:rsid w:val="00D31191"/>
    <w:rsid w:val="00D3681E"/>
    <w:rsid w:val="00D37100"/>
    <w:rsid w:val="00D66B46"/>
    <w:rsid w:val="00D80AF5"/>
    <w:rsid w:val="00D93DE3"/>
    <w:rsid w:val="00D941A0"/>
    <w:rsid w:val="00DC2A42"/>
    <w:rsid w:val="00DD4A8B"/>
    <w:rsid w:val="00DD7D89"/>
    <w:rsid w:val="00DE1150"/>
    <w:rsid w:val="00DF44A3"/>
    <w:rsid w:val="00E3119C"/>
    <w:rsid w:val="00E3665D"/>
    <w:rsid w:val="00E4631F"/>
    <w:rsid w:val="00E55888"/>
    <w:rsid w:val="00E73526"/>
    <w:rsid w:val="00E74C8F"/>
    <w:rsid w:val="00E75FA7"/>
    <w:rsid w:val="00E812AC"/>
    <w:rsid w:val="00EA3BF9"/>
    <w:rsid w:val="00EC3D18"/>
    <w:rsid w:val="00EC3EA9"/>
    <w:rsid w:val="00ED16BB"/>
    <w:rsid w:val="00EE5564"/>
    <w:rsid w:val="00EF3575"/>
    <w:rsid w:val="00EF379F"/>
    <w:rsid w:val="00EF600B"/>
    <w:rsid w:val="00EF662E"/>
    <w:rsid w:val="00EF7205"/>
    <w:rsid w:val="00F347DD"/>
    <w:rsid w:val="00F410D2"/>
    <w:rsid w:val="00F7095B"/>
    <w:rsid w:val="00F72FFF"/>
    <w:rsid w:val="00F746AF"/>
    <w:rsid w:val="00F96E5A"/>
    <w:rsid w:val="00F97B4D"/>
    <w:rsid w:val="00F97DEB"/>
    <w:rsid w:val="00FA2D66"/>
    <w:rsid w:val="00FA3945"/>
    <w:rsid w:val="00FB3F4E"/>
    <w:rsid w:val="00FE65AF"/>
    <w:rsid w:val="00FE73A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3C8AA"/>
  <w15:chartTrackingRefBased/>
  <w15:docId w15:val="{2B979FED-0795-114F-9CE1-702D946F0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18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118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C3D18"/>
    <w:rPr>
      <w:color w:val="0000FF"/>
      <w:u w:val="single"/>
    </w:rPr>
  </w:style>
  <w:style w:type="paragraph" w:styleId="ListParagraph">
    <w:name w:val="List Paragraph"/>
    <w:basedOn w:val="Normal"/>
    <w:uiPriority w:val="34"/>
    <w:qFormat/>
    <w:rsid w:val="00B152AE"/>
    <w:pPr>
      <w:ind w:left="720"/>
      <w:contextualSpacing/>
    </w:pPr>
  </w:style>
  <w:style w:type="paragraph" w:styleId="Header">
    <w:name w:val="header"/>
    <w:basedOn w:val="Normal"/>
    <w:link w:val="HeaderChar"/>
    <w:uiPriority w:val="99"/>
    <w:unhideWhenUsed/>
    <w:rsid w:val="007725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5BF"/>
  </w:style>
  <w:style w:type="paragraph" w:styleId="Footer">
    <w:name w:val="footer"/>
    <w:basedOn w:val="Normal"/>
    <w:link w:val="FooterChar"/>
    <w:uiPriority w:val="99"/>
    <w:unhideWhenUsed/>
    <w:rsid w:val="007725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5BF"/>
  </w:style>
  <w:style w:type="paragraph" w:customStyle="1" w:styleId="paragraph">
    <w:name w:val="paragraph"/>
    <w:basedOn w:val="Normal"/>
    <w:rsid w:val="00111843"/>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normaltextrun">
    <w:name w:val="normaltextrun"/>
    <w:basedOn w:val="DefaultParagraphFont"/>
    <w:rsid w:val="00111843"/>
  </w:style>
  <w:style w:type="character" w:customStyle="1" w:styleId="spellingerror">
    <w:name w:val="spellingerror"/>
    <w:basedOn w:val="DefaultParagraphFont"/>
    <w:rsid w:val="00111843"/>
  </w:style>
  <w:style w:type="character" w:customStyle="1" w:styleId="eop">
    <w:name w:val="eop"/>
    <w:basedOn w:val="DefaultParagraphFont"/>
    <w:rsid w:val="00111843"/>
  </w:style>
  <w:style w:type="character" w:customStyle="1" w:styleId="contextualspellingandgrammarerror">
    <w:name w:val="contextualspellingandgrammarerror"/>
    <w:basedOn w:val="DefaultParagraphFont"/>
    <w:rsid w:val="00111843"/>
  </w:style>
  <w:style w:type="character" w:customStyle="1" w:styleId="Heading1Char">
    <w:name w:val="Heading 1 Char"/>
    <w:basedOn w:val="DefaultParagraphFont"/>
    <w:link w:val="Heading1"/>
    <w:uiPriority w:val="9"/>
    <w:rsid w:val="0011184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1184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emf"/><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s://strs.unols.org/Public/diu_faq_view.aspx?short=DayTypesDefin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8C613E5B86C249B32A8C77BF9D3033" ma:contentTypeVersion="13" ma:contentTypeDescription="Create a new document." ma:contentTypeScope="" ma:versionID="4d8255fbdb269aaf97a9f89540c0d767">
  <xsd:schema xmlns:xsd="http://www.w3.org/2001/XMLSchema" xmlns:xs="http://www.w3.org/2001/XMLSchema" xmlns:p="http://schemas.microsoft.com/office/2006/metadata/properties" xmlns:ns3="8db1bb07-abbc-4d0b-97b9-74065d63c143" xmlns:ns4="c0b2f6ea-43a0-44d8-ad2f-cfc573a6a497" targetNamespace="http://schemas.microsoft.com/office/2006/metadata/properties" ma:root="true" ma:fieldsID="786ede258cc2f7906b9df02ceae8c30c" ns3:_="" ns4:_="">
    <xsd:import namespace="8db1bb07-abbc-4d0b-97b9-74065d63c143"/>
    <xsd:import namespace="c0b2f6ea-43a0-44d8-ad2f-cfc573a6a4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1bb07-abbc-4d0b-97b9-74065d63c14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b2f6ea-43a0-44d8-ad2f-cfc573a6a49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35AB0E-84E7-4271-BA30-8623C36D0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1bb07-abbc-4d0b-97b9-74065d63c143"/>
    <ds:schemaRef ds:uri="c0b2f6ea-43a0-44d8-ad2f-cfc573a6a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08E668-AF93-45D5-BA27-4D124B413CD0}">
  <ds:schemaRefs>
    <ds:schemaRef ds:uri="http://schemas.microsoft.com/sharepoint/v3/contenttype/forms"/>
  </ds:schemaRefs>
</ds:datastoreItem>
</file>

<file path=customXml/itemProps3.xml><?xml version="1.0" encoding="utf-8"?>
<ds:datastoreItem xmlns:ds="http://schemas.openxmlformats.org/officeDocument/2006/customXml" ds:itemID="{B21B938E-1ACB-4E0A-A164-42A66A6433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1597</Words>
  <Characters>9105</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Wilson</dc:creator>
  <cp:keywords/>
  <dc:description/>
  <cp:lastModifiedBy>Julio Ramirez</cp:lastModifiedBy>
  <cp:revision>2</cp:revision>
  <dcterms:created xsi:type="dcterms:W3CDTF">2019-11-05T19:37:00Z</dcterms:created>
  <dcterms:modified xsi:type="dcterms:W3CDTF">2019-11-05T19:37:00Z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0x0101002F8C613E5B86C249B32A8C77BF9D3033</vt:lpwstr>
  </property>
</Properties>
</file>